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F97" w:rsidRPr="003D3F97" w:rsidRDefault="003D3F97" w:rsidP="003D3F97">
      <w:pPr>
        <w:pStyle w:val="Heading1"/>
      </w:pPr>
      <w:r w:rsidRPr="003D3F97">
        <w:t>DAX Extends Gains in Five Wave Diagonal Formation</w:t>
      </w:r>
    </w:p>
    <w:p w:rsidR="003D3F97" w:rsidRPr="003D3F97" w:rsidRDefault="003D3F97" w:rsidP="003D3F97">
      <w:pPr>
        <w:spacing w:after="0" w:line="240" w:lineRule="auto"/>
        <w:rPr>
          <w:rFonts w:ascii="Helvetica Neue Lt Std Roman" w:eastAsia="Times New Roman" w:hAnsi="Helvetica Neue Lt Std Roman" w:cs="Times New Roman"/>
          <w:color w:val="333333"/>
          <w:kern w:val="0"/>
          <w:sz w:val="13"/>
          <w:szCs w:val="13"/>
        </w:rPr>
      </w:pPr>
    </w:p>
    <w:p w:rsidR="003D3F97" w:rsidRPr="003D3F97" w:rsidRDefault="003D3F97" w:rsidP="003D3F97">
      <w:pPr>
        <w:spacing w:after="0" w:line="240" w:lineRule="auto"/>
        <w:jc w:val="both"/>
        <w:rPr>
          <w:rFonts w:ascii="Helvetica Neue Lt Std Roman" w:eastAsia="Times New Roman" w:hAnsi="Helvetica Neue Lt Std Roman" w:cs="Times New Roman"/>
          <w:color w:val="333333"/>
          <w:kern w:val="0"/>
          <w:sz w:val="13"/>
          <w:szCs w:val="13"/>
        </w:rPr>
      </w:pPr>
      <w:r w:rsidRPr="003D3F97">
        <w:rPr>
          <w:rFonts w:ascii="Helvetica Neue Lt Std Roman" w:eastAsia="Times New Roman" w:hAnsi="Helvetica Neue Lt Std Roman" w:cs="Times New Roman"/>
          <w:color w:val="333333"/>
          <w:kern w:val="0"/>
          <w:sz w:val="13"/>
          <w:szCs w:val="13"/>
        </w:rPr>
        <w:t>The short-term Elliott Wave analysis for the DAX Index indicates it is nearing the completion of a cycle from its April 2025 low, unfolding as wave (5). From the June 19 low, wave (5) has developed as an </w:t>
      </w:r>
      <w:hyperlink r:id="rId6" w:anchor="ending-diagonal" w:history="1">
        <w:r w:rsidRPr="003D3F97">
          <w:rPr>
            <w:rFonts w:ascii="Helvetica Neue Lt Std Roman" w:eastAsia="Times New Roman" w:hAnsi="Helvetica Neue Lt Std Roman" w:cs="Times New Roman"/>
            <w:color w:val="0D72C7"/>
            <w:kern w:val="0"/>
            <w:sz w:val="13"/>
            <w:u w:val="single"/>
          </w:rPr>
          <w:t>ending diagonal Elliott Wave structure</w:t>
        </w:r>
      </w:hyperlink>
      <w:r w:rsidRPr="003D3F97">
        <w:rPr>
          <w:rFonts w:ascii="Helvetica Neue Lt Std Roman" w:eastAsia="Times New Roman" w:hAnsi="Helvetica Neue Lt Std Roman" w:cs="Times New Roman"/>
          <w:color w:val="333333"/>
          <w:kern w:val="0"/>
          <w:sz w:val="13"/>
          <w:szCs w:val="13"/>
        </w:rPr>
        <w:t>. The rally from this low saw wave 1 peak at 24639.1, followed by a wave 2 pullback concluding at 23284.67. The Index then advanced in wave 3, structured as a five-wave impulse. From the wave 2 low, wave ((i)) reached 23785.24, with a corrective dip in wave ((ii)) at 23383.84. The subsequent wave ((iii)) climbed to 24524.11, followed by a wave ((iv)) retracement to 24269.94. The final wave ((v)) culminated at 24771.34, completing wave 3.</w:t>
      </w:r>
    </w:p>
    <w:p w:rsidR="003D3F97" w:rsidRPr="003D3F97" w:rsidRDefault="003D3F97" w:rsidP="003D3F97">
      <w:pPr>
        <w:spacing w:after="94" w:line="240" w:lineRule="auto"/>
        <w:jc w:val="both"/>
        <w:rPr>
          <w:rFonts w:ascii="Helvetica Neue Lt Std Roman" w:eastAsia="Times New Roman" w:hAnsi="Helvetica Neue Lt Std Roman" w:cs="Times New Roman"/>
          <w:color w:val="333333"/>
          <w:kern w:val="0"/>
          <w:sz w:val="13"/>
          <w:szCs w:val="13"/>
        </w:rPr>
      </w:pPr>
      <w:r w:rsidRPr="003D3F97">
        <w:rPr>
          <w:rFonts w:ascii="Helvetica Neue Lt Std Roman" w:eastAsia="Times New Roman" w:hAnsi="Helvetica Neue Lt Std Roman" w:cs="Times New Roman"/>
          <w:color w:val="333333"/>
          <w:kern w:val="0"/>
          <w:sz w:val="13"/>
          <w:szCs w:val="13"/>
        </w:rPr>
        <w:t>Wave 4 unfolded as a double zigzag structure. From the wave 3 high, wave ((w)) declined to 23986.93, wave ((x)) rebounded to 24339.27, and wave ((y)) fell to 23682.73, finalizing wave 4. The Index has since turned upward in wave 5. From the wave 4 low, wave ((i)) reached 24384.24. A wave ((ii)) pullback is expected to correct the cycle from the October 17 low before the Index resumes its ascent. As long as the pivot at 23682.73 holds, pullbacks should attract buyers in a 3, 7, or 11 swing, supporting further upside in the near term.</w:t>
      </w:r>
    </w:p>
    <w:p w:rsidR="003D3F97" w:rsidRPr="003D3F97" w:rsidRDefault="003D3F97" w:rsidP="003D3F97">
      <w:pPr>
        <w:spacing w:after="94" w:line="240" w:lineRule="auto"/>
        <w:outlineLvl w:val="3"/>
        <w:rPr>
          <w:rFonts w:ascii="Helvetica Neue Lt Std MdCn" w:eastAsia="Times New Roman" w:hAnsi="Helvetica Neue Lt Std MdCn" w:cs="Times New Roman"/>
          <w:color w:val="333333"/>
          <w:kern w:val="0"/>
          <w:sz w:val="15"/>
          <w:szCs w:val="15"/>
        </w:rPr>
      </w:pPr>
      <w:r w:rsidRPr="003D3F97">
        <w:rPr>
          <w:rFonts w:ascii="Helvetica Neue Lt Std MdCn" w:eastAsia="Times New Roman" w:hAnsi="Helvetica Neue Lt Std MdCn" w:cs="Times New Roman"/>
          <w:color w:val="333333"/>
          <w:kern w:val="0"/>
          <w:sz w:val="15"/>
          <w:szCs w:val="15"/>
        </w:rPr>
        <w:t>DAX Latest 1-Hour Elliott Wave Chart From 10.23.2025</w:t>
      </w:r>
    </w:p>
    <w:p w:rsidR="003D3F97" w:rsidRPr="003D3F97" w:rsidRDefault="003D3F97" w:rsidP="003D3F97">
      <w:pPr>
        <w:spacing w:after="0" w:line="240" w:lineRule="auto"/>
        <w:outlineLvl w:val="3"/>
        <w:rPr>
          <w:rFonts w:ascii="Helvetica Neue Lt Std MdCn" w:eastAsia="Times New Roman" w:hAnsi="Helvetica Neue Lt Std MdCn" w:cs="Times New Roman"/>
          <w:color w:val="333333"/>
          <w:kern w:val="0"/>
          <w:sz w:val="15"/>
          <w:szCs w:val="15"/>
        </w:rPr>
      </w:pPr>
      <w:r>
        <w:rPr>
          <w:rFonts w:ascii="Helvetica Neue Lt Std MdCn" w:eastAsia="Times New Roman" w:hAnsi="Helvetica Neue Lt Std MdCn" w:cs="Times New Roman"/>
          <w:noProof/>
          <w:color w:val="0D72C7"/>
          <w:kern w:val="0"/>
          <w:sz w:val="15"/>
          <w:szCs w:val="15"/>
        </w:rPr>
        <w:drawing>
          <wp:inline distT="0" distB="0" distL="0" distR="0">
            <wp:extent cx="5350593" cy="2746009"/>
            <wp:effectExtent l="19050" t="0" r="2457" b="0"/>
            <wp:docPr id="1" name="Picture 1" descr="DAX Elliott Wave Cha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X Elliott Wave Chart">
                      <a:hlinkClick r:id="rId7"/>
                    </pic:cNvPr>
                    <pic:cNvPicPr>
                      <a:picLocks noChangeAspect="1" noChangeArrowheads="1"/>
                    </pic:cNvPicPr>
                  </pic:nvPicPr>
                  <pic:blipFill>
                    <a:blip r:embed="rId8" cstate="print"/>
                    <a:srcRect/>
                    <a:stretch>
                      <a:fillRect/>
                    </a:stretch>
                  </pic:blipFill>
                  <pic:spPr bwMode="auto">
                    <a:xfrm>
                      <a:off x="0" y="0"/>
                      <a:ext cx="5353117" cy="2747304"/>
                    </a:xfrm>
                    <a:prstGeom prst="rect">
                      <a:avLst/>
                    </a:prstGeom>
                    <a:noFill/>
                    <a:ln w="9525">
                      <a:noFill/>
                      <a:miter lim="800000"/>
                      <a:headEnd/>
                      <a:tailEnd/>
                    </a:ln>
                  </pic:spPr>
                </pic:pic>
              </a:graphicData>
            </a:graphic>
          </wp:inline>
        </w:drawing>
      </w:r>
    </w:p>
    <w:p w:rsidR="003D3F97" w:rsidRPr="003D3F97" w:rsidRDefault="003D3F97" w:rsidP="003D3F97">
      <w:pPr>
        <w:spacing w:after="94" w:line="240" w:lineRule="auto"/>
        <w:outlineLvl w:val="3"/>
        <w:rPr>
          <w:rFonts w:ascii="Helvetica Neue Lt Std MdCn" w:eastAsia="Times New Roman" w:hAnsi="Helvetica Neue Lt Std MdCn" w:cs="Times New Roman"/>
          <w:color w:val="333333"/>
          <w:kern w:val="0"/>
          <w:sz w:val="15"/>
          <w:szCs w:val="15"/>
        </w:rPr>
      </w:pPr>
      <w:hyperlink r:id="rId9" w:history="1">
        <w:r w:rsidRPr="003D3F97">
          <w:rPr>
            <w:rStyle w:val="Hyperlink"/>
            <w:rFonts w:ascii="Helvetica Neue Lt Std MdCn" w:eastAsia="Times New Roman" w:hAnsi="Helvetica Neue Lt Std MdCn" w:cs="Times New Roman"/>
            <w:kern w:val="0"/>
            <w:sz w:val="15"/>
            <w:szCs w:val="15"/>
          </w:rPr>
          <w:t>DAX Elliott Wave Video:</w:t>
        </w:r>
      </w:hyperlink>
    </w:p>
    <w:p w:rsidR="003142AA" w:rsidRDefault="003142AA"/>
    <w:sectPr w:rsidR="003142AA" w:rsidSect="00BA00C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ABB" w:rsidRDefault="00E87ABB" w:rsidP="003D3F97">
      <w:pPr>
        <w:spacing w:after="0" w:line="240" w:lineRule="auto"/>
      </w:pPr>
      <w:r>
        <w:separator/>
      </w:r>
    </w:p>
  </w:endnote>
  <w:endnote w:type="continuationSeparator" w:id="1">
    <w:p w:rsidR="00E87ABB" w:rsidRDefault="00E87ABB" w:rsidP="003D3F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Calibri"/>
    <w:charset w:val="00"/>
    <w:family w:val="roman"/>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Lt Std Roman">
    <w:altName w:val="Times New Roman"/>
    <w:panose1 w:val="00000000000000000000"/>
    <w:charset w:val="00"/>
    <w:family w:val="roman"/>
    <w:notTrueType/>
    <w:pitch w:val="default"/>
    <w:sig w:usb0="00000000" w:usb1="00000000" w:usb2="00000000" w:usb3="00000000" w:csb0="00000000" w:csb1="00000000"/>
  </w:font>
  <w:font w:name="Helvetica Neue Lt Std MdCn">
    <w:altName w:val="Times New Roman"/>
    <w:panose1 w:val="00000000000000000000"/>
    <w:charset w:val="00"/>
    <w:family w:val="roman"/>
    <w:notTrueType/>
    <w:pitch w:val="default"/>
    <w:sig w:usb0="00000000" w:usb1="00000000" w:usb2="00000000" w:usb3="00000000" w:csb0="00000000" w:csb1="00000000"/>
  </w:font>
  <w:font w:name="Aptos Display">
    <w:altName w:val="Calibri"/>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ABB" w:rsidRDefault="00E87ABB" w:rsidP="003D3F97">
      <w:pPr>
        <w:spacing w:after="0" w:line="240" w:lineRule="auto"/>
      </w:pPr>
      <w:r>
        <w:separator/>
      </w:r>
    </w:p>
  </w:footnote>
  <w:footnote w:type="continuationSeparator" w:id="1">
    <w:p w:rsidR="00E87ABB" w:rsidRDefault="00E87ABB" w:rsidP="003D3F9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footnotePr>
    <w:footnote w:id="0"/>
    <w:footnote w:id="1"/>
  </w:footnotePr>
  <w:endnotePr>
    <w:endnote w:id="0"/>
    <w:endnote w:id="1"/>
  </w:endnotePr>
  <w:compat/>
  <w:rsids>
    <w:rsidRoot w:val="003D3F97"/>
    <w:rsid w:val="003142AA"/>
    <w:rsid w:val="003D3F97"/>
    <w:rsid w:val="00BA00C9"/>
    <w:rsid w:val="00E8681D"/>
    <w:rsid w:val="00E87AB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0C9"/>
  </w:style>
  <w:style w:type="paragraph" w:styleId="Heading1">
    <w:name w:val="heading 1"/>
    <w:basedOn w:val="Normal"/>
    <w:link w:val="Heading1Char"/>
    <w:uiPriority w:val="9"/>
    <w:qFormat/>
    <w:rsid w:val="003D3F9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link w:val="Heading4Char"/>
    <w:uiPriority w:val="9"/>
    <w:qFormat/>
    <w:rsid w:val="003D3F97"/>
    <w:pPr>
      <w:spacing w:before="100" w:beforeAutospacing="1" w:after="100" w:afterAutospacing="1" w:line="240" w:lineRule="auto"/>
      <w:outlineLvl w:val="3"/>
    </w:pPr>
    <w:rPr>
      <w:rFonts w:ascii="Times New Roman" w:eastAsia="Times New Roman" w:hAnsi="Times New Roman" w:cs="Times New Roman"/>
      <w:b/>
      <w:bCs/>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F97"/>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3D3F97"/>
    <w:rPr>
      <w:rFonts w:ascii="Times New Roman" w:eastAsia="Times New Roman" w:hAnsi="Times New Roman" w:cs="Times New Roman"/>
      <w:b/>
      <w:bCs/>
      <w:kern w:val="0"/>
    </w:rPr>
  </w:style>
  <w:style w:type="paragraph" w:customStyle="1" w:styleId="entry-meta">
    <w:name w:val="entry-meta"/>
    <w:basedOn w:val="Normal"/>
    <w:rsid w:val="003D3F97"/>
    <w:pPr>
      <w:spacing w:before="100" w:beforeAutospacing="1" w:after="100" w:afterAutospacing="1" w:line="240" w:lineRule="auto"/>
    </w:pPr>
    <w:rPr>
      <w:rFonts w:ascii="Times New Roman" w:eastAsia="Times New Roman" w:hAnsi="Times New Roman" w:cs="Times New Roman"/>
      <w:kern w:val="0"/>
    </w:rPr>
  </w:style>
  <w:style w:type="character" w:customStyle="1" w:styleId="entry-author">
    <w:name w:val="entry-author"/>
    <w:basedOn w:val="DefaultParagraphFont"/>
    <w:rsid w:val="003D3F97"/>
  </w:style>
  <w:style w:type="character" w:styleId="Hyperlink">
    <w:name w:val="Hyperlink"/>
    <w:basedOn w:val="DefaultParagraphFont"/>
    <w:uiPriority w:val="99"/>
    <w:unhideWhenUsed/>
    <w:rsid w:val="003D3F97"/>
    <w:rPr>
      <w:color w:val="0000FF"/>
      <w:u w:val="single"/>
    </w:rPr>
  </w:style>
  <w:style w:type="character" w:customStyle="1" w:styleId="entry-author-name">
    <w:name w:val="entry-author-name"/>
    <w:basedOn w:val="DefaultParagraphFont"/>
    <w:rsid w:val="003D3F97"/>
  </w:style>
  <w:style w:type="paragraph" w:styleId="NormalWeb">
    <w:name w:val="Normal (Web)"/>
    <w:basedOn w:val="Normal"/>
    <w:uiPriority w:val="99"/>
    <w:semiHidden/>
    <w:unhideWhenUsed/>
    <w:rsid w:val="003D3F97"/>
    <w:pPr>
      <w:spacing w:before="100" w:beforeAutospacing="1" w:after="100" w:afterAutospacing="1" w:line="240" w:lineRule="auto"/>
    </w:pPr>
    <w:rPr>
      <w:rFonts w:ascii="Times New Roman" w:eastAsia="Times New Roman" w:hAnsi="Times New Roman" w:cs="Times New Roman"/>
      <w:kern w:val="0"/>
    </w:rPr>
  </w:style>
  <w:style w:type="paragraph" w:styleId="BalloonText">
    <w:name w:val="Balloon Text"/>
    <w:basedOn w:val="Normal"/>
    <w:link w:val="BalloonTextChar"/>
    <w:uiPriority w:val="99"/>
    <w:semiHidden/>
    <w:unhideWhenUsed/>
    <w:rsid w:val="003D3F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F97"/>
    <w:rPr>
      <w:rFonts w:ascii="Tahoma" w:hAnsi="Tahoma" w:cs="Tahoma"/>
      <w:sz w:val="16"/>
      <w:szCs w:val="16"/>
    </w:rPr>
  </w:style>
  <w:style w:type="paragraph" w:styleId="Header">
    <w:name w:val="header"/>
    <w:basedOn w:val="Normal"/>
    <w:link w:val="HeaderChar"/>
    <w:uiPriority w:val="99"/>
    <w:semiHidden/>
    <w:unhideWhenUsed/>
    <w:rsid w:val="003D3F9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D3F97"/>
  </w:style>
  <w:style w:type="paragraph" w:styleId="Footer">
    <w:name w:val="footer"/>
    <w:basedOn w:val="Normal"/>
    <w:link w:val="FooterChar"/>
    <w:uiPriority w:val="99"/>
    <w:semiHidden/>
    <w:unhideWhenUsed/>
    <w:rsid w:val="003D3F9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D3F97"/>
  </w:style>
</w:styles>
</file>

<file path=word/webSettings.xml><?xml version="1.0" encoding="utf-8"?>
<w:webSettings xmlns:r="http://schemas.openxmlformats.org/officeDocument/2006/relationships" xmlns:w="http://schemas.openxmlformats.org/wordprocessingml/2006/main">
  <w:divs>
    <w:div w:id="1786925829">
      <w:bodyDiv w:val="1"/>
      <w:marLeft w:val="0"/>
      <w:marRight w:val="0"/>
      <w:marTop w:val="0"/>
      <w:marBottom w:val="0"/>
      <w:divBdr>
        <w:top w:val="none" w:sz="0" w:space="0" w:color="auto"/>
        <w:left w:val="none" w:sz="0" w:space="0" w:color="auto"/>
        <w:bottom w:val="none" w:sz="0" w:space="0" w:color="auto"/>
        <w:right w:val="none" w:sz="0" w:space="0" w:color="auto"/>
      </w:divBdr>
      <w:divsChild>
        <w:div w:id="2031099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s://elliottwave-forecast.com/wp-content/uploads/2025/10/DAX-6020251023075309.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lliottwave-forecast.com/elliott-wave-theory/"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youtu.be/lL7FHkTe5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222</Words>
  <Characters>1269</Characters>
  <Application>Microsoft Office Word</Application>
  <DocSecurity>0</DocSecurity>
  <Lines>10</Lines>
  <Paragraphs>2</Paragraphs>
  <ScaleCrop>false</ScaleCrop>
  <Company/>
  <LinksUpToDate>false</LinksUpToDate>
  <CharactersWithSpaces>1489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Mohsin Ali Saqib</dc:creator>
  <cp:lastModifiedBy>Mohsin Ali Saqib</cp:lastModifiedBy>
  <cp:revision>1</cp:revision>
  <dcterms:created xsi:type="dcterms:W3CDTF">2025-10-23T12:01:00Z</dcterms:created>
  <dcterms:modified xsi:type="dcterms:W3CDTF">2025-10-23T12:03:00Z</dcterms:modified>
</cp:coreProperties>
</file>