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E55E6" w14:textId="67EF3E6D" w:rsidR="00A272F7" w:rsidRDefault="00006755" w:rsidP="00006755">
      <w:pPr>
        <w:jc w:val="center"/>
        <w:rPr>
          <w:b/>
          <w:bCs/>
          <w:sz w:val="40"/>
          <w:szCs w:val="48"/>
        </w:rPr>
      </w:pPr>
      <w:r w:rsidRPr="00006755">
        <w:rPr>
          <w:b/>
          <w:bCs/>
          <w:sz w:val="40"/>
          <w:szCs w:val="48"/>
        </w:rPr>
        <w:t>Daily Analysis on Gold: Friday 26 July 2024</w:t>
      </w:r>
    </w:p>
    <w:p w14:paraId="4AB6542C" w14:textId="3BD7E40F" w:rsidR="00006755" w:rsidRDefault="00006755" w:rsidP="00006755">
      <w:pPr>
        <w:pBdr>
          <w:bottom w:val="single" w:sz="6" w:space="1" w:color="auto"/>
        </w:pBdr>
        <w:jc w:val="center"/>
        <w:rPr>
          <w:i/>
          <w:iCs/>
          <w:sz w:val="36"/>
          <w:szCs w:val="44"/>
        </w:rPr>
      </w:pPr>
      <w:r>
        <w:rPr>
          <w:i/>
          <w:iCs/>
          <w:sz w:val="36"/>
          <w:szCs w:val="44"/>
        </w:rPr>
        <w:t>“In the short term, what impact could we expect on Gold's price following the increase in the US advanced GDP?”</w:t>
      </w:r>
    </w:p>
    <w:p w14:paraId="2D5D9783" w14:textId="77777777" w:rsidR="00006755" w:rsidRDefault="00006755" w:rsidP="00006755">
      <w:pPr>
        <w:pBdr>
          <w:bottom w:val="single" w:sz="6" w:space="1" w:color="auto"/>
        </w:pBdr>
        <w:jc w:val="center"/>
        <w:rPr>
          <w:i/>
          <w:iCs/>
          <w:sz w:val="36"/>
          <w:szCs w:val="44"/>
        </w:rPr>
      </w:pPr>
    </w:p>
    <w:p w14:paraId="52E9FC84" w14:textId="77777777" w:rsidR="00006755" w:rsidRDefault="00006755" w:rsidP="00006755">
      <w:pPr>
        <w:jc w:val="center"/>
        <w:rPr>
          <w:i/>
          <w:iCs/>
          <w:sz w:val="36"/>
          <w:szCs w:val="44"/>
        </w:rPr>
      </w:pPr>
    </w:p>
    <w:p w14:paraId="243478E6" w14:textId="5E937574" w:rsidR="00006755" w:rsidRDefault="00006755" w:rsidP="00006755">
      <w:pPr>
        <w:rPr>
          <w:sz w:val="28"/>
          <w:szCs w:val="36"/>
        </w:rPr>
      </w:pPr>
      <w:r>
        <w:rPr>
          <w:sz w:val="28"/>
          <w:szCs w:val="36"/>
        </w:rPr>
        <w:t>Yesterday (</w:t>
      </w:r>
      <w:r w:rsidRPr="00006755">
        <w:rPr>
          <w:i/>
          <w:iCs/>
          <w:sz w:val="28"/>
          <w:szCs w:val="36"/>
        </w:rPr>
        <w:t>Thursday</w:t>
      </w:r>
      <w:r>
        <w:rPr>
          <w:i/>
          <w:iCs/>
          <w:sz w:val="28"/>
          <w:szCs w:val="36"/>
        </w:rPr>
        <w:t xml:space="preserve">, 25 July 2024), there was a release of the US economic data, which is </w:t>
      </w:r>
      <w:r w:rsidRPr="00006755">
        <w:rPr>
          <w:b/>
          <w:bCs/>
          <w:i/>
          <w:iCs/>
          <w:sz w:val="28"/>
          <w:szCs w:val="36"/>
        </w:rPr>
        <w:t xml:space="preserve">the Advance GDP for the Second Quarter of </w:t>
      </w:r>
      <w:r w:rsidRPr="00006755">
        <w:rPr>
          <w:b/>
          <w:bCs/>
          <w:sz w:val="28"/>
          <w:szCs w:val="36"/>
        </w:rPr>
        <w:t>2024</w:t>
      </w:r>
      <w:r>
        <w:rPr>
          <w:sz w:val="28"/>
          <w:szCs w:val="36"/>
        </w:rPr>
        <w:t>.</w:t>
      </w:r>
      <w:r w:rsidR="001D272C">
        <w:rPr>
          <w:sz w:val="28"/>
          <w:szCs w:val="36"/>
        </w:rPr>
        <w:t xml:space="preserve"> That was an increase of 1.4% from the previous quarter.</w:t>
      </w:r>
    </w:p>
    <w:p w14:paraId="77DD1F03" w14:textId="77777777" w:rsidR="00006755" w:rsidRDefault="00006755" w:rsidP="00006755">
      <w:pPr>
        <w:rPr>
          <w:sz w:val="28"/>
          <w:szCs w:val="36"/>
        </w:rPr>
      </w:pPr>
    </w:p>
    <w:p w14:paraId="33E25398" w14:textId="7979C199" w:rsidR="001D272C" w:rsidRDefault="001D272C" w:rsidP="00006755">
      <w:pPr>
        <w:rPr>
          <w:sz w:val="28"/>
          <w:szCs w:val="36"/>
        </w:rPr>
      </w:pPr>
      <w:r w:rsidRPr="001D272C">
        <w:rPr>
          <w:sz w:val="28"/>
          <w:szCs w:val="36"/>
        </w:rPr>
        <w:drawing>
          <wp:inline distT="0" distB="0" distL="0" distR="0" wp14:anchorId="4F050923" wp14:editId="31E2C9E2">
            <wp:extent cx="5943600" cy="2513965"/>
            <wp:effectExtent l="0" t="0" r="0" b="635"/>
            <wp:docPr id="1764811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11700" name=""/>
                    <pic:cNvPicPr/>
                  </pic:nvPicPr>
                  <pic:blipFill>
                    <a:blip r:embed="rId4"/>
                    <a:stretch>
                      <a:fillRect/>
                    </a:stretch>
                  </pic:blipFill>
                  <pic:spPr>
                    <a:xfrm>
                      <a:off x="0" y="0"/>
                      <a:ext cx="5943600" cy="2513965"/>
                    </a:xfrm>
                    <a:prstGeom prst="rect">
                      <a:avLst/>
                    </a:prstGeom>
                  </pic:spPr>
                </pic:pic>
              </a:graphicData>
            </a:graphic>
          </wp:inline>
        </w:drawing>
      </w:r>
    </w:p>
    <w:p w14:paraId="771F2561" w14:textId="5F7E9130" w:rsidR="001D272C" w:rsidRDefault="001D272C" w:rsidP="00006755">
      <w:pPr>
        <w:rPr>
          <w:i/>
          <w:iCs/>
        </w:rPr>
      </w:pPr>
      <w:r w:rsidRPr="001D272C">
        <w:rPr>
          <w:i/>
          <w:iCs/>
        </w:rPr>
        <w:t xml:space="preserve">Source from: </w:t>
      </w:r>
      <w:hyperlink r:id="rId5" w:history="1">
        <w:r w:rsidRPr="001D272C">
          <w:rPr>
            <w:rStyle w:val="Hyperlink"/>
            <w:i/>
            <w:iCs/>
          </w:rPr>
          <w:t>U.S. Bureau of Economic Analysis</w:t>
        </w:r>
      </w:hyperlink>
    </w:p>
    <w:p w14:paraId="57D0B5BB" w14:textId="77777777" w:rsidR="001D272C" w:rsidRPr="001D272C" w:rsidRDefault="001D272C" w:rsidP="00006755">
      <w:pPr>
        <w:rPr>
          <w:i/>
          <w:iCs/>
          <w:sz w:val="28"/>
          <w:szCs w:val="36"/>
        </w:rPr>
      </w:pPr>
    </w:p>
    <w:p w14:paraId="6C8461DE" w14:textId="609449E1" w:rsidR="00006755" w:rsidRDefault="00006755" w:rsidP="00006755">
      <w:pPr>
        <w:rPr>
          <w:sz w:val="28"/>
          <w:szCs w:val="36"/>
        </w:rPr>
      </w:pPr>
      <w:r>
        <w:rPr>
          <w:sz w:val="28"/>
          <w:szCs w:val="36"/>
        </w:rPr>
        <w:t>Although this data wasn’t the most accurate</w:t>
      </w:r>
      <w:r w:rsidR="001D272C">
        <w:rPr>
          <w:sz w:val="28"/>
          <w:szCs w:val="36"/>
        </w:rPr>
        <w:t xml:space="preserve"> compared to the Final GDP (3rd), it could impact the market’s sentiment in the short term</w:t>
      </w:r>
      <w:r>
        <w:rPr>
          <w:sz w:val="28"/>
          <w:szCs w:val="36"/>
        </w:rPr>
        <w:t>.</w:t>
      </w:r>
    </w:p>
    <w:p w14:paraId="68A8BB82" w14:textId="77777777" w:rsidR="00C32539" w:rsidRDefault="00C32539" w:rsidP="00006755">
      <w:pPr>
        <w:rPr>
          <w:sz w:val="28"/>
          <w:szCs w:val="36"/>
        </w:rPr>
      </w:pPr>
    </w:p>
    <w:p w14:paraId="04D4CBAA" w14:textId="77777777" w:rsidR="00F50570" w:rsidRDefault="00C32539" w:rsidP="00006755">
      <w:pPr>
        <w:rPr>
          <w:sz w:val="28"/>
          <w:szCs w:val="36"/>
        </w:rPr>
      </w:pPr>
      <w:r w:rsidRPr="00C32539">
        <w:rPr>
          <w:sz w:val="28"/>
          <w:szCs w:val="36"/>
        </w:rPr>
        <w:t>The</w:t>
      </w:r>
      <w:r>
        <w:rPr>
          <w:sz w:val="28"/>
          <w:szCs w:val="36"/>
        </w:rPr>
        <w:t xml:space="preserve"> aggressive increase in GDP primarily reflected the possibility </w:t>
      </w:r>
      <w:r w:rsidR="00F50570">
        <w:rPr>
          <w:sz w:val="28"/>
          <w:szCs w:val="36"/>
        </w:rPr>
        <w:t>of an increase</w:t>
      </w:r>
      <w:r>
        <w:rPr>
          <w:sz w:val="28"/>
          <w:szCs w:val="36"/>
        </w:rPr>
        <w:t xml:space="preserve"> in the inflation rate, which could lead the Fed to decide to hold the interest rate.</w:t>
      </w:r>
    </w:p>
    <w:p w14:paraId="0C4666F6" w14:textId="583317D0" w:rsidR="005D4008" w:rsidRPr="005D4008" w:rsidRDefault="005D4008" w:rsidP="00006755">
      <w:pPr>
        <w:rPr>
          <w:sz w:val="32"/>
          <w:szCs w:val="40"/>
          <w:u w:val="single"/>
        </w:rPr>
      </w:pPr>
      <w:r w:rsidRPr="005D4008">
        <w:rPr>
          <w:sz w:val="32"/>
          <w:szCs w:val="40"/>
          <w:u w:val="single"/>
        </w:rPr>
        <w:lastRenderedPageBreak/>
        <w:t>XAUUSD 1 Hour Timeframe</w:t>
      </w:r>
    </w:p>
    <w:p w14:paraId="5CF4BBB9" w14:textId="502B8132" w:rsidR="00F50570" w:rsidRDefault="00F50570" w:rsidP="00006755">
      <w:pPr>
        <w:rPr>
          <w:sz w:val="28"/>
          <w:szCs w:val="36"/>
        </w:rPr>
      </w:pPr>
    </w:p>
    <w:p w14:paraId="617FCBB8" w14:textId="46FD5239" w:rsidR="00F50570" w:rsidRDefault="005D4008" w:rsidP="00006755">
      <w:pPr>
        <w:rPr>
          <w:sz w:val="28"/>
          <w:szCs w:val="36"/>
        </w:rPr>
      </w:pPr>
      <w:r>
        <w:rPr>
          <w:i/>
          <w:iCs/>
          <w:noProof/>
        </w:rPr>
        <w:drawing>
          <wp:inline distT="0" distB="0" distL="0" distR="0" wp14:anchorId="7F482387" wp14:editId="403EB992">
            <wp:extent cx="5943600" cy="2773680"/>
            <wp:effectExtent l="0" t="0" r="0" b="7620"/>
            <wp:docPr id="11398147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773680"/>
                    </a:xfrm>
                    <a:prstGeom prst="rect">
                      <a:avLst/>
                    </a:prstGeom>
                    <a:noFill/>
                    <a:ln>
                      <a:noFill/>
                    </a:ln>
                  </pic:spPr>
                </pic:pic>
              </a:graphicData>
            </a:graphic>
          </wp:inline>
        </w:drawing>
      </w:r>
    </w:p>
    <w:p w14:paraId="58DF1306" w14:textId="7A875934" w:rsidR="00F50570" w:rsidRDefault="005D4008" w:rsidP="005D4008">
      <w:pPr>
        <w:rPr>
          <w:i/>
          <w:iCs/>
          <w:sz w:val="20"/>
          <w:szCs w:val="24"/>
        </w:rPr>
      </w:pPr>
      <w:r w:rsidRPr="005D4008">
        <w:rPr>
          <w:i/>
          <w:iCs/>
          <w:sz w:val="20"/>
          <w:szCs w:val="24"/>
          <w:highlight w:val="yellow"/>
        </w:rPr>
        <w:t>After the data was released, the market reacted by decreasing</w:t>
      </w:r>
      <w:r w:rsidRPr="005D4008">
        <w:rPr>
          <w:i/>
          <w:iCs/>
          <w:sz w:val="20"/>
          <w:szCs w:val="24"/>
          <w:highlight w:val="yellow"/>
        </w:rPr>
        <w:t xml:space="preserve"> </w:t>
      </w:r>
      <w:r w:rsidRPr="005D4008">
        <w:rPr>
          <w:i/>
          <w:iCs/>
          <w:sz w:val="20"/>
          <w:szCs w:val="24"/>
          <w:highlight w:val="yellow"/>
        </w:rPr>
        <w:t>in price due to</w:t>
      </w:r>
      <w:r w:rsidRPr="005D4008">
        <w:rPr>
          <w:i/>
          <w:iCs/>
          <w:sz w:val="20"/>
          <w:szCs w:val="24"/>
          <w:highlight w:val="yellow"/>
        </w:rPr>
        <w:t xml:space="preserve"> </w:t>
      </w:r>
      <w:r w:rsidRPr="005D4008">
        <w:rPr>
          <w:i/>
          <w:iCs/>
          <w:sz w:val="20"/>
          <w:szCs w:val="24"/>
          <w:highlight w:val="yellow"/>
        </w:rPr>
        <w:t xml:space="preserve">the sentiment that the US dollar </w:t>
      </w:r>
      <w:r w:rsidRPr="005D4008">
        <w:rPr>
          <w:i/>
          <w:iCs/>
          <w:sz w:val="20"/>
          <w:szCs w:val="24"/>
          <w:highlight w:val="yellow"/>
        </w:rPr>
        <w:t>would strengthen</w:t>
      </w:r>
      <w:r w:rsidRPr="005D4008">
        <w:rPr>
          <w:i/>
          <w:iCs/>
          <w:sz w:val="20"/>
          <w:szCs w:val="24"/>
          <w:highlight w:val="yellow"/>
        </w:rPr>
        <w:t>.</w:t>
      </w:r>
    </w:p>
    <w:p w14:paraId="23D36263" w14:textId="77777777" w:rsidR="005D4008" w:rsidRDefault="005D4008" w:rsidP="005D4008">
      <w:pPr>
        <w:rPr>
          <w:i/>
          <w:iCs/>
          <w:sz w:val="20"/>
          <w:szCs w:val="24"/>
        </w:rPr>
      </w:pPr>
    </w:p>
    <w:p w14:paraId="59227395" w14:textId="41BAB380" w:rsidR="005D4008" w:rsidRDefault="005D4008" w:rsidP="005D4008">
      <w:pPr>
        <w:rPr>
          <w:sz w:val="28"/>
          <w:szCs w:val="36"/>
        </w:rPr>
      </w:pPr>
      <w:r>
        <w:rPr>
          <w:sz w:val="28"/>
          <w:szCs w:val="36"/>
        </w:rPr>
        <w:t>In contrast, in his recent speech, Federal Reserve Chair Jerome Powell mentioned that the Fed would be willing to cut the interest rate before returning to the 2% target in order to maintain the labor market situation.</w:t>
      </w:r>
    </w:p>
    <w:p w14:paraId="59ECE3BD" w14:textId="77777777" w:rsidR="005D4008" w:rsidRDefault="005D4008" w:rsidP="005D4008">
      <w:pPr>
        <w:rPr>
          <w:sz w:val="28"/>
          <w:szCs w:val="36"/>
        </w:rPr>
      </w:pPr>
    </w:p>
    <w:p w14:paraId="02B00D0A" w14:textId="77777777" w:rsidR="00CC286E" w:rsidRDefault="007E6B37" w:rsidP="005D4008">
      <w:pPr>
        <w:rPr>
          <w:sz w:val="28"/>
          <w:szCs w:val="36"/>
        </w:rPr>
      </w:pPr>
      <w:r>
        <w:rPr>
          <w:sz w:val="28"/>
          <w:szCs w:val="36"/>
        </w:rPr>
        <w:t>The initial GDP estimate may indicate economic growth, supporting spending in the labor market</w:t>
      </w:r>
      <w:r w:rsidR="00CC286E">
        <w:rPr>
          <w:sz w:val="28"/>
          <w:szCs w:val="36"/>
        </w:rPr>
        <w:t>.</w:t>
      </w:r>
    </w:p>
    <w:p w14:paraId="55FA64B0" w14:textId="77777777" w:rsidR="00CC286E" w:rsidRDefault="00CC286E" w:rsidP="005D4008">
      <w:pPr>
        <w:rPr>
          <w:sz w:val="28"/>
          <w:szCs w:val="36"/>
        </w:rPr>
      </w:pPr>
    </w:p>
    <w:p w14:paraId="379AF60E" w14:textId="64868A73" w:rsidR="00CC286E" w:rsidRDefault="00CC286E" w:rsidP="005D4008">
      <w:pPr>
        <w:rPr>
          <w:sz w:val="28"/>
          <w:szCs w:val="36"/>
        </w:rPr>
      </w:pPr>
      <w:r>
        <w:rPr>
          <w:sz w:val="28"/>
          <w:szCs w:val="36"/>
        </w:rPr>
        <w:t>However, the unemployment rate and claims data since May 2024 didn't show a positive sign for the labor market, potentially prompting the Fed to cut rates.</w:t>
      </w:r>
    </w:p>
    <w:p w14:paraId="5A883836" w14:textId="77777777" w:rsidR="00CC286E" w:rsidRDefault="00CC286E" w:rsidP="005D4008">
      <w:pPr>
        <w:rPr>
          <w:sz w:val="28"/>
          <w:szCs w:val="36"/>
        </w:rPr>
      </w:pPr>
    </w:p>
    <w:p w14:paraId="7B2246CD" w14:textId="11291068" w:rsidR="00CC286E" w:rsidRDefault="00CC286E" w:rsidP="005D4008">
      <w:pPr>
        <w:rPr>
          <w:sz w:val="28"/>
          <w:szCs w:val="36"/>
        </w:rPr>
      </w:pPr>
      <w:r w:rsidRPr="00CC286E">
        <w:rPr>
          <w:sz w:val="28"/>
          <w:szCs w:val="36"/>
        </w:rPr>
        <w:lastRenderedPageBreak/>
        <w:drawing>
          <wp:inline distT="0" distB="0" distL="0" distR="0" wp14:anchorId="6F67283D" wp14:editId="121E912A">
            <wp:extent cx="5943600" cy="3267710"/>
            <wp:effectExtent l="0" t="0" r="0" b="8890"/>
            <wp:docPr id="619361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61066" name=""/>
                    <pic:cNvPicPr/>
                  </pic:nvPicPr>
                  <pic:blipFill>
                    <a:blip r:embed="rId7"/>
                    <a:stretch>
                      <a:fillRect/>
                    </a:stretch>
                  </pic:blipFill>
                  <pic:spPr>
                    <a:xfrm>
                      <a:off x="0" y="0"/>
                      <a:ext cx="5943600" cy="3267710"/>
                    </a:xfrm>
                    <a:prstGeom prst="rect">
                      <a:avLst/>
                    </a:prstGeom>
                  </pic:spPr>
                </pic:pic>
              </a:graphicData>
            </a:graphic>
          </wp:inline>
        </w:drawing>
      </w:r>
    </w:p>
    <w:p w14:paraId="3E2BED52" w14:textId="77777777" w:rsidR="00CC286E" w:rsidRDefault="00CC286E" w:rsidP="005D4008">
      <w:pPr>
        <w:rPr>
          <w:sz w:val="28"/>
          <w:szCs w:val="36"/>
        </w:rPr>
      </w:pPr>
    </w:p>
    <w:p w14:paraId="1D1BEDDA" w14:textId="429DB7A4" w:rsidR="007E6B37" w:rsidRDefault="00CC286E" w:rsidP="005D4008">
      <w:pPr>
        <w:rPr>
          <w:sz w:val="28"/>
          <w:szCs w:val="36"/>
        </w:rPr>
      </w:pPr>
      <w:r w:rsidRPr="00CC286E">
        <w:rPr>
          <w:sz w:val="28"/>
          <w:szCs w:val="36"/>
        </w:rPr>
        <w:drawing>
          <wp:inline distT="0" distB="0" distL="0" distR="0" wp14:anchorId="745AA28F" wp14:editId="5612B399">
            <wp:extent cx="5943600" cy="2673985"/>
            <wp:effectExtent l="0" t="0" r="0" b="0"/>
            <wp:docPr id="133931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18141" name=""/>
                    <pic:cNvPicPr/>
                  </pic:nvPicPr>
                  <pic:blipFill>
                    <a:blip r:embed="rId8"/>
                    <a:stretch>
                      <a:fillRect/>
                    </a:stretch>
                  </pic:blipFill>
                  <pic:spPr>
                    <a:xfrm>
                      <a:off x="0" y="0"/>
                      <a:ext cx="5943600" cy="2673985"/>
                    </a:xfrm>
                    <a:prstGeom prst="rect">
                      <a:avLst/>
                    </a:prstGeom>
                  </pic:spPr>
                </pic:pic>
              </a:graphicData>
            </a:graphic>
          </wp:inline>
        </w:drawing>
      </w:r>
    </w:p>
    <w:p w14:paraId="2569666A" w14:textId="77777777" w:rsidR="00CC286E" w:rsidRDefault="00CC286E" w:rsidP="005D4008">
      <w:pPr>
        <w:rPr>
          <w:sz w:val="28"/>
          <w:szCs w:val="36"/>
        </w:rPr>
      </w:pPr>
    </w:p>
    <w:p w14:paraId="6D9BA71C" w14:textId="77777777" w:rsidR="003F31CF" w:rsidRDefault="007E6B37" w:rsidP="005D4008">
      <w:pPr>
        <w:rPr>
          <w:sz w:val="28"/>
          <w:szCs w:val="36"/>
        </w:rPr>
      </w:pPr>
      <w:r>
        <w:rPr>
          <w:sz w:val="28"/>
          <w:szCs w:val="36"/>
        </w:rPr>
        <w:t>That's why we observed a bullish reversal in price action</w:t>
      </w:r>
      <w:r w:rsidR="003F31CF">
        <w:rPr>
          <w:sz w:val="28"/>
          <w:szCs w:val="36"/>
        </w:rPr>
        <w:t xml:space="preserve"> (1.)</w:t>
      </w:r>
      <w:r>
        <w:rPr>
          <w:sz w:val="28"/>
          <w:szCs w:val="36"/>
        </w:rPr>
        <w:t xml:space="preserve"> and a resurgence in buying momentum from the 2359.5 Key Support</w:t>
      </w:r>
      <w:r w:rsidR="003F31CF">
        <w:rPr>
          <w:sz w:val="28"/>
          <w:szCs w:val="36"/>
        </w:rPr>
        <w:t xml:space="preserve"> (2.)</w:t>
      </w:r>
      <w:r>
        <w:rPr>
          <w:sz w:val="28"/>
          <w:szCs w:val="36"/>
        </w:rPr>
        <w:t>.</w:t>
      </w:r>
    </w:p>
    <w:p w14:paraId="056CF147" w14:textId="3D72866C" w:rsidR="007E6B37" w:rsidRDefault="003F31CF" w:rsidP="005D4008">
      <w:pPr>
        <w:rPr>
          <w:sz w:val="28"/>
          <w:szCs w:val="36"/>
        </w:rPr>
      </w:pPr>
      <w:r>
        <w:rPr>
          <w:noProof/>
          <w:sz w:val="28"/>
          <w:szCs w:val="36"/>
        </w:rPr>
        <w:lastRenderedPageBreak/>
        <w:drawing>
          <wp:inline distT="0" distB="0" distL="0" distR="0" wp14:anchorId="0595277F" wp14:editId="4C35B8A3">
            <wp:extent cx="5943600" cy="2773680"/>
            <wp:effectExtent l="0" t="0" r="0" b="7620"/>
            <wp:docPr id="991702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773680"/>
                    </a:xfrm>
                    <a:prstGeom prst="rect">
                      <a:avLst/>
                    </a:prstGeom>
                    <a:noFill/>
                    <a:ln>
                      <a:noFill/>
                    </a:ln>
                  </pic:spPr>
                </pic:pic>
              </a:graphicData>
            </a:graphic>
          </wp:inline>
        </w:drawing>
      </w:r>
    </w:p>
    <w:p w14:paraId="10D73729" w14:textId="77777777" w:rsidR="003F31CF" w:rsidRDefault="003F31CF" w:rsidP="005D4008">
      <w:pPr>
        <w:pBdr>
          <w:bottom w:val="single" w:sz="6" w:space="1" w:color="auto"/>
        </w:pBdr>
        <w:rPr>
          <w:sz w:val="28"/>
          <w:szCs w:val="36"/>
        </w:rPr>
      </w:pPr>
    </w:p>
    <w:p w14:paraId="66D965FE" w14:textId="77777777" w:rsidR="003F31CF" w:rsidRDefault="003F31CF" w:rsidP="005D4008">
      <w:pPr>
        <w:rPr>
          <w:sz w:val="28"/>
          <w:szCs w:val="36"/>
        </w:rPr>
      </w:pPr>
    </w:p>
    <w:p w14:paraId="293F5A2C" w14:textId="267A13F8" w:rsidR="003F31CF" w:rsidRDefault="003F31CF" w:rsidP="005D4008">
      <w:pPr>
        <w:rPr>
          <w:b/>
          <w:bCs/>
          <w:sz w:val="36"/>
          <w:szCs w:val="44"/>
        </w:rPr>
      </w:pPr>
      <w:r w:rsidRPr="003F31CF">
        <w:rPr>
          <w:b/>
          <w:bCs/>
          <w:sz w:val="36"/>
          <w:szCs w:val="44"/>
        </w:rPr>
        <w:t>How to execute the trade</w:t>
      </w:r>
    </w:p>
    <w:p w14:paraId="694F1FC8" w14:textId="77777777" w:rsidR="003F31CF" w:rsidRDefault="003F31CF" w:rsidP="005D4008">
      <w:pPr>
        <w:rPr>
          <w:sz w:val="36"/>
          <w:szCs w:val="44"/>
          <w:u w:val="single"/>
        </w:rPr>
      </w:pPr>
    </w:p>
    <w:p w14:paraId="0F6E13B8" w14:textId="6EB8E625" w:rsidR="00263470" w:rsidRDefault="00263470" w:rsidP="005D4008">
      <w:pPr>
        <w:rPr>
          <w:sz w:val="28"/>
          <w:szCs w:val="36"/>
        </w:rPr>
      </w:pPr>
      <w:r>
        <w:rPr>
          <w:sz w:val="28"/>
          <w:szCs w:val="36"/>
        </w:rPr>
        <w:t>From the fundamental analysis, we expect the price of gold to rise, at least up to the key resistance area around the 2,300 level.</w:t>
      </w:r>
    </w:p>
    <w:p w14:paraId="03C8BAFD" w14:textId="77777777" w:rsidR="00263470" w:rsidRDefault="00263470" w:rsidP="005D4008">
      <w:pPr>
        <w:rPr>
          <w:sz w:val="28"/>
          <w:szCs w:val="36"/>
        </w:rPr>
      </w:pPr>
    </w:p>
    <w:p w14:paraId="129F6F7D" w14:textId="0CF73C15" w:rsidR="003F31CF" w:rsidRDefault="003F31CF" w:rsidP="005D4008">
      <w:pPr>
        <w:rPr>
          <w:sz w:val="32"/>
          <w:szCs w:val="40"/>
          <w:u w:val="single"/>
        </w:rPr>
      </w:pPr>
      <w:r w:rsidRPr="003F31CF">
        <w:rPr>
          <w:sz w:val="32"/>
          <w:szCs w:val="40"/>
          <w:u w:val="single"/>
        </w:rPr>
        <w:t>XAUUSD 4 Hours Timeframe</w:t>
      </w:r>
    </w:p>
    <w:p w14:paraId="0914238B" w14:textId="77777777" w:rsidR="008479C3" w:rsidRDefault="008479C3" w:rsidP="005D4008">
      <w:pPr>
        <w:rPr>
          <w:sz w:val="32"/>
          <w:szCs w:val="40"/>
          <w:u w:val="single"/>
        </w:rPr>
      </w:pPr>
    </w:p>
    <w:p w14:paraId="77A80FE0" w14:textId="34B52E4D" w:rsidR="003F31CF" w:rsidRDefault="008479C3" w:rsidP="005D4008">
      <w:pPr>
        <w:rPr>
          <w:sz w:val="32"/>
          <w:szCs w:val="40"/>
          <w:u w:val="single"/>
        </w:rPr>
      </w:pPr>
      <w:r w:rsidRPr="008479C3">
        <w:rPr>
          <w:noProof/>
          <w:sz w:val="32"/>
          <w:szCs w:val="40"/>
        </w:rPr>
        <w:lastRenderedPageBreak/>
        <w:drawing>
          <wp:inline distT="0" distB="0" distL="0" distR="0" wp14:anchorId="275ECC7F" wp14:editId="3D8BF644">
            <wp:extent cx="5943600" cy="2773680"/>
            <wp:effectExtent l="0" t="0" r="0" b="7620"/>
            <wp:docPr id="7820768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773680"/>
                    </a:xfrm>
                    <a:prstGeom prst="rect">
                      <a:avLst/>
                    </a:prstGeom>
                    <a:noFill/>
                    <a:ln>
                      <a:noFill/>
                    </a:ln>
                  </pic:spPr>
                </pic:pic>
              </a:graphicData>
            </a:graphic>
          </wp:inline>
        </w:drawing>
      </w:r>
    </w:p>
    <w:p w14:paraId="1C74E9B0" w14:textId="29740972" w:rsidR="003F31CF" w:rsidRPr="008479C3" w:rsidRDefault="008479C3" w:rsidP="008479C3">
      <w:pPr>
        <w:rPr>
          <w:i/>
          <w:iCs/>
          <w:sz w:val="20"/>
          <w:szCs w:val="24"/>
        </w:rPr>
      </w:pPr>
      <w:r w:rsidRPr="008479C3">
        <w:rPr>
          <w:i/>
          <w:iCs/>
          <w:sz w:val="20"/>
          <w:szCs w:val="24"/>
          <w:highlight w:val="yellow"/>
        </w:rPr>
        <w:t>The zone indicates where the market is located and the level of trading activity. It reflects the prices that the market is interested in by considering the rejection of market prices (</w:t>
      </w:r>
      <w:proofErr w:type="spellStart"/>
      <w:r w:rsidRPr="008479C3">
        <w:rPr>
          <w:i/>
          <w:iCs/>
          <w:sz w:val="20"/>
          <w:szCs w:val="24"/>
          <w:highlight w:val="yellow"/>
        </w:rPr>
        <w:t>a,b</w:t>
      </w:r>
      <w:proofErr w:type="spellEnd"/>
      <w:r w:rsidRPr="008479C3">
        <w:rPr>
          <w:i/>
          <w:iCs/>
          <w:sz w:val="20"/>
          <w:szCs w:val="24"/>
          <w:highlight w:val="yellow"/>
        </w:rPr>
        <w:t>) and selling pressure at point c.</w:t>
      </w:r>
    </w:p>
    <w:p w14:paraId="22BE15EE" w14:textId="77777777" w:rsidR="008479C3" w:rsidRDefault="008479C3" w:rsidP="008479C3">
      <w:pPr>
        <w:rPr>
          <w:i/>
          <w:iCs/>
        </w:rPr>
      </w:pPr>
    </w:p>
    <w:p w14:paraId="446A233F" w14:textId="51E5A26A" w:rsidR="008479C3" w:rsidRDefault="008479C3" w:rsidP="008479C3">
      <w:pPr>
        <w:rPr>
          <w:sz w:val="28"/>
          <w:szCs w:val="36"/>
        </w:rPr>
      </w:pPr>
      <w:r>
        <w:rPr>
          <w:sz w:val="28"/>
          <w:szCs w:val="36"/>
        </w:rPr>
        <w:t>If we open the 4-hour timeframe chart, we can spot the price zone around 2,368 that the market was interested in.</w:t>
      </w:r>
    </w:p>
    <w:p w14:paraId="3F4344FC" w14:textId="77777777" w:rsidR="00263470" w:rsidRDefault="00263470" w:rsidP="008479C3">
      <w:pPr>
        <w:rPr>
          <w:sz w:val="28"/>
          <w:szCs w:val="36"/>
        </w:rPr>
      </w:pPr>
    </w:p>
    <w:p w14:paraId="0FE27F60" w14:textId="55698BCD" w:rsidR="00263470" w:rsidRDefault="00263470" w:rsidP="008479C3">
      <w:pPr>
        <w:rPr>
          <w:sz w:val="32"/>
          <w:szCs w:val="40"/>
          <w:u w:val="single"/>
        </w:rPr>
      </w:pPr>
      <w:r w:rsidRPr="00263470">
        <w:rPr>
          <w:sz w:val="32"/>
          <w:szCs w:val="40"/>
          <w:u w:val="single"/>
        </w:rPr>
        <w:t>XAUUSD 1 Hour Timeframe</w:t>
      </w:r>
    </w:p>
    <w:p w14:paraId="2D3B1FF7" w14:textId="77777777" w:rsidR="00263470" w:rsidRPr="00263470" w:rsidRDefault="00263470" w:rsidP="008479C3">
      <w:pPr>
        <w:rPr>
          <w:sz w:val="28"/>
          <w:szCs w:val="36"/>
          <w:u w:val="single"/>
        </w:rPr>
      </w:pPr>
    </w:p>
    <w:p w14:paraId="26490B5E" w14:textId="293C9634" w:rsidR="00263470" w:rsidRDefault="00263470" w:rsidP="008479C3">
      <w:pPr>
        <w:rPr>
          <w:sz w:val="28"/>
          <w:szCs w:val="36"/>
        </w:rPr>
      </w:pPr>
      <w:r>
        <w:rPr>
          <w:noProof/>
          <w:sz w:val="28"/>
          <w:szCs w:val="36"/>
        </w:rPr>
        <w:drawing>
          <wp:inline distT="0" distB="0" distL="0" distR="0" wp14:anchorId="616372D3" wp14:editId="4FC1ECCE">
            <wp:extent cx="5943600" cy="2773680"/>
            <wp:effectExtent l="0" t="0" r="0" b="7620"/>
            <wp:docPr id="17750234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773680"/>
                    </a:xfrm>
                    <a:prstGeom prst="rect">
                      <a:avLst/>
                    </a:prstGeom>
                    <a:noFill/>
                    <a:ln>
                      <a:noFill/>
                    </a:ln>
                  </pic:spPr>
                </pic:pic>
              </a:graphicData>
            </a:graphic>
          </wp:inline>
        </w:drawing>
      </w:r>
    </w:p>
    <w:p w14:paraId="28BC07FF" w14:textId="335CF9DB" w:rsidR="00263470" w:rsidRDefault="00263470" w:rsidP="008479C3">
      <w:pPr>
        <w:rPr>
          <w:sz w:val="28"/>
          <w:szCs w:val="36"/>
        </w:rPr>
      </w:pPr>
      <w:r>
        <w:rPr>
          <w:sz w:val="28"/>
          <w:szCs w:val="36"/>
        </w:rPr>
        <w:lastRenderedPageBreak/>
        <w:t>On the hourly timeframe, using the Fibonacci tool, we can observe that the 50-61.8% retracement, which is the golden ratio, aligns closely with the 2,368 market's interest point.</w:t>
      </w:r>
    </w:p>
    <w:p w14:paraId="66AD236F" w14:textId="77777777" w:rsidR="00263470" w:rsidRDefault="00263470" w:rsidP="008479C3">
      <w:pPr>
        <w:rPr>
          <w:sz w:val="28"/>
          <w:szCs w:val="36"/>
        </w:rPr>
      </w:pPr>
    </w:p>
    <w:p w14:paraId="65B32480" w14:textId="41BA072F" w:rsidR="00263470" w:rsidRDefault="00880619" w:rsidP="008479C3">
      <w:pPr>
        <w:rPr>
          <w:sz w:val="28"/>
          <w:szCs w:val="36"/>
        </w:rPr>
      </w:pPr>
      <w:r>
        <w:rPr>
          <w:sz w:val="28"/>
          <w:szCs w:val="36"/>
        </w:rPr>
        <w:t>Thus, to initiate a trade with a buy position, we will wait until the price reaches the 50-61.8% zone and forms a reference swing low, which we can use to determine the stop-loss level. And the take-profit level may be placed around the 2,388 level.</w:t>
      </w:r>
    </w:p>
    <w:p w14:paraId="1239C1A3" w14:textId="77777777" w:rsidR="00880619" w:rsidRDefault="00880619" w:rsidP="008479C3">
      <w:pPr>
        <w:rPr>
          <w:sz w:val="28"/>
          <w:szCs w:val="36"/>
        </w:rPr>
      </w:pPr>
    </w:p>
    <w:p w14:paraId="6E2ACA99" w14:textId="467AE7AC" w:rsidR="00880619" w:rsidRDefault="00880619" w:rsidP="00880619">
      <w:pPr>
        <w:jc w:val="center"/>
      </w:pPr>
      <w:r w:rsidRPr="00880619">
        <w:t xml:space="preserve">Get ready for an amazing trading experience with the </w:t>
      </w:r>
      <w:proofErr w:type="spellStart"/>
      <w:r w:rsidRPr="00880619">
        <w:t>ThinkTraders</w:t>
      </w:r>
      <w:proofErr w:type="spellEnd"/>
      <w:r w:rsidRPr="00880619">
        <w:t xml:space="preserve"> trading account. Gain direct access to </w:t>
      </w:r>
      <w:proofErr w:type="spellStart"/>
      <w:r w:rsidRPr="00880619">
        <w:t>Tradingview</w:t>
      </w:r>
      <w:proofErr w:type="spellEnd"/>
      <w:r w:rsidRPr="00880619">
        <w:t xml:space="preserve"> and a lot of effective features to supercharge your trading journey. Click this link to open your account now!</w:t>
      </w:r>
    </w:p>
    <w:p w14:paraId="1A7C1A0C" w14:textId="7EC551FD" w:rsidR="00880619" w:rsidRDefault="00880619" w:rsidP="00880619">
      <w:pPr>
        <w:jc w:val="center"/>
        <w:rPr>
          <w:i/>
          <w:iCs/>
          <w:sz w:val="20"/>
          <w:szCs w:val="24"/>
        </w:rPr>
      </w:pPr>
      <w:hyperlink r:id="rId12" w:history="1">
        <w:r w:rsidRPr="00880619">
          <w:rPr>
            <w:rStyle w:val="Hyperlink"/>
            <w:i/>
            <w:iCs/>
            <w:sz w:val="20"/>
            <w:szCs w:val="24"/>
          </w:rPr>
          <w:t>https://web.thinktrader.com/account/login?lang=th&amp;_gl=1*dzd739*_gcl_au*MTYzMTU0NDI4NS4xNzE5Nzk2OTMy</w:t>
        </w:r>
      </w:hyperlink>
    </w:p>
    <w:p w14:paraId="642F917B" w14:textId="77777777" w:rsidR="00880619" w:rsidRDefault="00880619" w:rsidP="00880619">
      <w:pPr>
        <w:pBdr>
          <w:bottom w:val="single" w:sz="6" w:space="1" w:color="auto"/>
        </w:pBdr>
        <w:jc w:val="center"/>
        <w:rPr>
          <w:i/>
          <w:iCs/>
          <w:sz w:val="20"/>
          <w:szCs w:val="24"/>
        </w:rPr>
      </w:pPr>
    </w:p>
    <w:p w14:paraId="55928BAB" w14:textId="77777777" w:rsidR="000C15B3" w:rsidRDefault="000C15B3" w:rsidP="00880619">
      <w:pPr>
        <w:jc w:val="center"/>
        <w:rPr>
          <w:i/>
          <w:iCs/>
          <w:sz w:val="16"/>
          <w:szCs w:val="20"/>
        </w:rPr>
      </w:pPr>
    </w:p>
    <w:p w14:paraId="70B7E391" w14:textId="060DAC2A" w:rsidR="00880619" w:rsidRPr="000C15B3" w:rsidRDefault="000C15B3" w:rsidP="00880619">
      <w:pPr>
        <w:jc w:val="center"/>
        <w:rPr>
          <w:i/>
          <w:iCs/>
          <w:sz w:val="16"/>
          <w:szCs w:val="20"/>
        </w:rPr>
      </w:pPr>
      <w:r w:rsidRPr="000C15B3">
        <w:rPr>
          <w:i/>
          <w:iCs/>
          <w:sz w:val="16"/>
          <w:szCs w:val="20"/>
        </w:rPr>
        <w:t>Please note that investments in CFDs contain risks. Investors are advised to thoroughly examine the products before making any decisions.</w:t>
      </w:r>
    </w:p>
    <w:sectPr w:rsidR="00880619" w:rsidRPr="000C15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755"/>
    <w:rsid w:val="00006755"/>
    <w:rsid w:val="000C15B3"/>
    <w:rsid w:val="001D272C"/>
    <w:rsid w:val="00263470"/>
    <w:rsid w:val="003F31CF"/>
    <w:rsid w:val="005D4008"/>
    <w:rsid w:val="0068096F"/>
    <w:rsid w:val="007E6B37"/>
    <w:rsid w:val="008479C3"/>
    <w:rsid w:val="00880619"/>
    <w:rsid w:val="008A3AD9"/>
    <w:rsid w:val="00A272F7"/>
    <w:rsid w:val="00A421D5"/>
    <w:rsid w:val="00C32539"/>
    <w:rsid w:val="00CC286E"/>
    <w:rsid w:val="00E000E8"/>
    <w:rsid w:val="00F5057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8E0D1E"/>
  <w15:chartTrackingRefBased/>
  <w15:docId w15:val="{49852E15-072A-46DF-AA90-7AB41C70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755"/>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006755"/>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006755"/>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06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755"/>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006755"/>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006755"/>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06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755"/>
    <w:rPr>
      <w:rFonts w:eastAsiaTheme="majorEastAsia" w:cstheme="majorBidi"/>
      <w:color w:val="272727" w:themeColor="text1" w:themeTint="D8"/>
    </w:rPr>
  </w:style>
  <w:style w:type="paragraph" w:styleId="Title">
    <w:name w:val="Title"/>
    <w:basedOn w:val="Normal"/>
    <w:next w:val="Normal"/>
    <w:link w:val="TitleChar"/>
    <w:uiPriority w:val="10"/>
    <w:qFormat/>
    <w:rsid w:val="0000675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0675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06755"/>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06755"/>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06755"/>
    <w:pPr>
      <w:spacing w:before="160"/>
      <w:jc w:val="center"/>
    </w:pPr>
    <w:rPr>
      <w:i/>
      <w:iCs/>
      <w:color w:val="404040" w:themeColor="text1" w:themeTint="BF"/>
    </w:rPr>
  </w:style>
  <w:style w:type="character" w:customStyle="1" w:styleId="QuoteChar">
    <w:name w:val="Quote Char"/>
    <w:basedOn w:val="DefaultParagraphFont"/>
    <w:link w:val="Quote"/>
    <w:uiPriority w:val="29"/>
    <w:rsid w:val="00006755"/>
    <w:rPr>
      <w:i/>
      <w:iCs/>
      <w:color w:val="404040" w:themeColor="text1" w:themeTint="BF"/>
    </w:rPr>
  </w:style>
  <w:style w:type="paragraph" w:styleId="ListParagraph">
    <w:name w:val="List Paragraph"/>
    <w:basedOn w:val="Normal"/>
    <w:uiPriority w:val="34"/>
    <w:qFormat/>
    <w:rsid w:val="00006755"/>
    <w:pPr>
      <w:ind w:left="720"/>
      <w:contextualSpacing/>
    </w:pPr>
  </w:style>
  <w:style w:type="character" w:styleId="IntenseEmphasis">
    <w:name w:val="Intense Emphasis"/>
    <w:basedOn w:val="DefaultParagraphFont"/>
    <w:uiPriority w:val="21"/>
    <w:qFormat/>
    <w:rsid w:val="00006755"/>
    <w:rPr>
      <w:i/>
      <w:iCs/>
      <w:color w:val="0F4761" w:themeColor="accent1" w:themeShade="BF"/>
    </w:rPr>
  </w:style>
  <w:style w:type="paragraph" w:styleId="IntenseQuote">
    <w:name w:val="Intense Quote"/>
    <w:basedOn w:val="Normal"/>
    <w:next w:val="Normal"/>
    <w:link w:val="IntenseQuoteChar"/>
    <w:uiPriority w:val="30"/>
    <w:qFormat/>
    <w:rsid w:val="00006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755"/>
    <w:rPr>
      <w:i/>
      <w:iCs/>
      <w:color w:val="0F4761" w:themeColor="accent1" w:themeShade="BF"/>
    </w:rPr>
  </w:style>
  <w:style w:type="character" w:styleId="IntenseReference">
    <w:name w:val="Intense Reference"/>
    <w:basedOn w:val="DefaultParagraphFont"/>
    <w:uiPriority w:val="32"/>
    <w:qFormat/>
    <w:rsid w:val="00006755"/>
    <w:rPr>
      <w:b/>
      <w:bCs/>
      <w:smallCaps/>
      <w:color w:val="0F4761" w:themeColor="accent1" w:themeShade="BF"/>
      <w:spacing w:val="5"/>
    </w:rPr>
  </w:style>
  <w:style w:type="character" w:styleId="Hyperlink">
    <w:name w:val="Hyperlink"/>
    <w:basedOn w:val="DefaultParagraphFont"/>
    <w:uiPriority w:val="99"/>
    <w:unhideWhenUsed/>
    <w:rsid w:val="001D272C"/>
    <w:rPr>
      <w:color w:val="467886" w:themeColor="hyperlink"/>
      <w:u w:val="single"/>
    </w:rPr>
  </w:style>
  <w:style w:type="character" w:styleId="UnresolvedMention">
    <w:name w:val="Unresolved Mention"/>
    <w:basedOn w:val="DefaultParagraphFont"/>
    <w:uiPriority w:val="99"/>
    <w:semiHidden/>
    <w:unhideWhenUsed/>
    <w:rsid w:val="001D2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eb.thinktrader.com/account/login?lang=th&amp;_gl=1*dzd739*_gcl_au*MTYzMTU0NDI4NS4xNzE5Nzk2OTM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https://www.bea.gov/news/glance" TargetMode="Externa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473</Words>
  <Characters>2419</Characters>
  <Application>Microsoft Office Word</Application>
  <DocSecurity>0</DocSecurity>
  <Lines>78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Wisa Seeha</dc:creator>
  <cp:keywords/>
  <dc:description/>
  <cp:lastModifiedBy>Wisa Seeha</cp:lastModifiedBy>
  <cp:revision>2</cp:revision>
  <dcterms:created xsi:type="dcterms:W3CDTF">2024-07-26T03:32:00Z</dcterms:created>
  <dcterms:modified xsi:type="dcterms:W3CDTF">2024-07-26T05:38:00Z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9aa7eb31-d54b-4b48-aae3-c9b3639561cc</vt:lpwstr>
  </property>
</Properties>
</file>