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42"/>
      </w:tblGrid>
      <w:tr w:rsidR="004132A7" w:rsidRPr="00DE43B8" w:rsidTr="0068279B">
        <w:tc>
          <w:tcPr>
            <w:tcW w:w="9631" w:type="dxa"/>
            <w:shd w:val="clear" w:color="auto" w:fill="C5E0B3"/>
          </w:tcPr>
          <w:p w:rsidR="004132A7" w:rsidRPr="00DE43B8" w:rsidRDefault="004132A7" w:rsidP="00DE43B8">
            <w:pPr>
              <w:jc w:val="center"/>
              <w:rPr>
                <w:rFonts w:cs="Calibri"/>
                <w:b/>
              </w:rPr>
            </w:pPr>
            <w:r>
              <w:rPr>
                <w:rFonts w:cs="Calibri"/>
                <w:b/>
              </w:rPr>
              <w:t>WK 12</w:t>
            </w:r>
          </w:p>
        </w:tc>
      </w:tr>
      <w:tr w:rsidR="004132A7" w:rsidRPr="00DE43B8" w:rsidTr="0068279B">
        <w:tc>
          <w:tcPr>
            <w:tcW w:w="9631" w:type="dxa"/>
            <w:shd w:val="clear" w:color="auto" w:fill="B4C6E7"/>
          </w:tcPr>
          <w:p w:rsidR="004132A7" w:rsidRPr="00DE43B8" w:rsidRDefault="004132A7" w:rsidP="00BF2C62">
            <w:pPr>
              <w:rPr>
                <w:rFonts w:cs="Calibri"/>
                <w:b/>
              </w:rPr>
            </w:pPr>
            <w:r w:rsidRPr="00DE43B8">
              <w:rPr>
                <w:rFonts w:cs="Calibri"/>
                <w:b/>
              </w:rPr>
              <w:t>USD – Rate 2.5</w:t>
            </w:r>
          </w:p>
        </w:tc>
      </w:tr>
      <w:tr w:rsidR="004132A7" w:rsidRPr="00DE43B8" w:rsidTr="0068279B">
        <w:tc>
          <w:tcPr>
            <w:tcW w:w="9631" w:type="dxa"/>
          </w:tcPr>
          <w:p w:rsidR="004132A7" w:rsidRPr="00DE43B8" w:rsidRDefault="004132A7" w:rsidP="006E760B">
            <w:pPr>
              <w:rPr>
                <w:rFonts w:cs="Calibri"/>
              </w:rPr>
            </w:pPr>
            <w:r w:rsidRPr="00DE43B8">
              <w:rPr>
                <w:rFonts w:cs="Calibri"/>
              </w:rPr>
              <w:t>Due to oil range may not be able to move much on rates. Expect flat to weak</w:t>
            </w:r>
          </w:p>
          <w:p w:rsidR="004132A7" w:rsidRPr="00DE43B8" w:rsidRDefault="004132A7" w:rsidP="006E760B">
            <w:pPr>
              <w:rPr>
                <w:rFonts w:cs="Calibri"/>
              </w:rPr>
            </w:pPr>
            <w:r w:rsidRPr="00DE43B8">
              <w:rPr>
                <w:rFonts w:cs="Calibri"/>
              </w:rPr>
              <w:t>Gold down / Usd up</w:t>
            </w:r>
          </w:p>
          <w:p w:rsidR="004132A7" w:rsidRPr="00DE43B8" w:rsidRDefault="004132A7" w:rsidP="006E760B">
            <w:pPr>
              <w:rPr>
                <w:rFonts w:cs="Calibri"/>
              </w:rPr>
            </w:pPr>
            <w:r w:rsidRPr="00DE43B8">
              <w:rPr>
                <w:rFonts w:cs="Calibri"/>
              </w:rPr>
              <w:t>Int rates on hold / Usd Up (after initial sentiment).</w:t>
            </w:r>
          </w:p>
          <w:p w:rsidR="004132A7" w:rsidRPr="00DE43B8" w:rsidRDefault="004132A7" w:rsidP="006E760B">
            <w:pPr>
              <w:rPr>
                <w:rFonts w:cs="Calibri"/>
              </w:rPr>
            </w:pPr>
          </w:p>
          <w:p w:rsidR="004132A7" w:rsidRPr="00DE43B8" w:rsidRDefault="004132A7" w:rsidP="006E760B">
            <w:pPr>
              <w:rPr>
                <w:rFonts w:cs="Calibri"/>
              </w:rPr>
            </w:pPr>
            <w:r w:rsidRPr="00DE43B8">
              <w:rPr>
                <w:rFonts w:cs="Calibri"/>
              </w:rPr>
              <w:t>The fundamentals are not in favour of the dollar, at least in the near term.</w:t>
            </w:r>
          </w:p>
          <w:p w:rsidR="004132A7" w:rsidRPr="00DE43B8" w:rsidRDefault="004132A7" w:rsidP="006E760B">
            <w:pPr>
              <w:rPr>
                <w:rFonts w:cs="Calibri"/>
              </w:rPr>
            </w:pPr>
            <w:r w:rsidRPr="00DE43B8">
              <w:rPr>
                <w:rFonts w:cs="Calibri"/>
              </w:rPr>
              <w:t xml:space="preserve">A trade deal with </w:t>
            </w:r>
            <w:smartTag w:uri="urn:schemas-microsoft-com:office:smarttags" w:element="country-region">
              <w:smartTag w:uri="urn:schemas-microsoft-com:office:smarttags" w:element="place">
                <w:r w:rsidRPr="00DE43B8">
                  <w:rPr>
                    <w:rFonts w:cs="Calibri"/>
                  </w:rPr>
                  <w:t>China</w:t>
                </w:r>
              </w:smartTag>
            </w:smartTag>
            <w:r w:rsidRPr="00DE43B8">
              <w:rPr>
                <w:rFonts w:cs="Calibri"/>
              </w:rPr>
              <w:t xml:space="preserve"> would help other countries get stronger vs usd.</w:t>
            </w:r>
          </w:p>
          <w:p w:rsidR="004132A7" w:rsidRPr="00DE43B8" w:rsidRDefault="004132A7" w:rsidP="006E760B">
            <w:pPr>
              <w:rPr>
                <w:rFonts w:cs="Calibri"/>
              </w:rPr>
            </w:pPr>
          </w:p>
          <w:p w:rsidR="004132A7" w:rsidRPr="00DE43B8" w:rsidRDefault="004132A7" w:rsidP="003D51D0">
            <w:pPr>
              <w:rPr>
                <w:rFonts w:ascii="Verdana" w:hAnsi="Verdana" w:cs="Calibri"/>
                <w:color w:val="000000"/>
                <w:sz w:val="18"/>
                <w:szCs w:val="18"/>
              </w:rPr>
            </w:pPr>
            <w:r w:rsidRPr="00DE43B8">
              <w:rPr>
                <w:rFonts w:ascii="Verdana" w:hAnsi="Verdana" w:cs="Calibri"/>
                <w:color w:val="000000"/>
                <w:sz w:val="18"/>
                <w:szCs w:val="18"/>
              </w:rPr>
              <w:t>Markets have priced in a successful resolution to the US China trade negotiations.</w:t>
            </w:r>
          </w:p>
          <w:p w:rsidR="004132A7" w:rsidRPr="00DE43B8" w:rsidRDefault="004132A7" w:rsidP="003D51D0">
            <w:pPr>
              <w:rPr>
                <w:rFonts w:ascii="Verdana" w:hAnsi="Verdana" w:cs="Calibri"/>
                <w:color w:val="000000"/>
                <w:sz w:val="18"/>
                <w:szCs w:val="18"/>
              </w:rPr>
            </w:pPr>
          </w:p>
          <w:p w:rsidR="004132A7" w:rsidRPr="00DE43B8" w:rsidRDefault="004132A7" w:rsidP="003D51D0">
            <w:pPr>
              <w:rPr>
                <w:rFonts w:ascii="Verdana" w:hAnsi="Verdana" w:cs="Calibri"/>
                <w:color w:val="000000"/>
                <w:sz w:val="18"/>
                <w:szCs w:val="18"/>
              </w:rPr>
            </w:pPr>
            <w:r w:rsidRPr="00DE43B8">
              <w:rPr>
                <w:rFonts w:ascii="Verdana" w:hAnsi="Verdana" w:cs="Calibri"/>
                <w:color w:val="000000"/>
                <w:sz w:val="18"/>
                <w:szCs w:val="18"/>
              </w:rPr>
              <w:t>Nordea expects a nominal deal to be reached in the first half of 2019. Good news for gobal PMIs and bad for USD</w:t>
            </w:r>
            <w:r>
              <w:rPr>
                <w:rFonts w:ascii="Verdana" w:hAnsi="Verdana" w:cs="Calibri"/>
                <w:color w:val="000000"/>
                <w:sz w:val="18"/>
                <w:szCs w:val="18"/>
              </w:rPr>
              <w:t>.</w:t>
            </w:r>
          </w:p>
          <w:p w:rsidR="004132A7" w:rsidRPr="00DE43B8" w:rsidRDefault="004132A7" w:rsidP="003D51D0">
            <w:pPr>
              <w:rPr>
                <w:rFonts w:ascii="Verdana" w:hAnsi="Verdana" w:cs="Calibri"/>
                <w:color w:val="000000"/>
                <w:sz w:val="18"/>
                <w:szCs w:val="18"/>
              </w:rPr>
            </w:pPr>
          </w:p>
          <w:p w:rsidR="004132A7" w:rsidRPr="00DE43B8" w:rsidRDefault="004132A7" w:rsidP="003D51D0">
            <w:pPr>
              <w:rPr>
                <w:rFonts w:ascii="Verdana" w:hAnsi="Verdana" w:cs="Calibri"/>
                <w:color w:val="000000"/>
                <w:sz w:val="18"/>
                <w:szCs w:val="18"/>
              </w:rPr>
            </w:pPr>
            <w:r w:rsidRPr="00DE43B8">
              <w:rPr>
                <w:rFonts w:ascii="Verdana" w:hAnsi="Verdana" w:cs="Calibri"/>
                <w:b/>
                <w:bCs/>
                <w:color w:val="000000"/>
                <w:sz w:val="18"/>
                <w:szCs w:val="18"/>
              </w:rPr>
              <w:t>Big picture:</w:t>
            </w:r>
            <w:r w:rsidRPr="00DE43B8">
              <w:rPr>
                <w:rFonts w:ascii="Verdana" w:hAnsi="Verdana" w:cs="Calibri"/>
                <w:color w:val="000000"/>
                <w:sz w:val="18"/>
                <w:szCs w:val="18"/>
              </w:rPr>
              <w:t xml:space="preserve"> By most measures the industrial side of the economy has gotten off to a slower start in 2019. A weaker global economy and stronger dollar have curbed exports and are likely to limit growth in the months ahead, even if the trade dispute with </w:t>
            </w:r>
            <w:smartTag w:uri="urn:schemas-microsoft-com:office:smarttags" w:element="country-region">
              <w:smartTag w:uri="urn:schemas-microsoft-com:office:smarttags" w:element="place">
                <w:r w:rsidRPr="00DE43B8">
                  <w:rPr>
                    <w:rFonts w:ascii="Verdana" w:hAnsi="Verdana" w:cs="Calibri"/>
                    <w:color w:val="000000"/>
                    <w:sz w:val="18"/>
                    <w:szCs w:val="18"/>
                  </w:rPr>
                  <w:t>China</w:t>
                </w:r>
              </w:smartTag>
            </w:smartTag>
            <w:r w:rsidRPr="00DE43B8">
              <w:rPr>
                <w:rFonts w:ascii="Verdana" w:hAnsi="Verdana" w:cs="Calibri"/>
                <w:color w:val="000000"/>
                <w:sz w:val="18"/>
                <w:szCs w:val="18"/>
              </w:rPr>
              <w:t xml:space="preserve"> is resolved</w:t>
            </w:r>
          </w:p>
          <w:p w:rsidR="004132A7" w:rsidRDefault="004132A7" w:rsidP="003D51D0">
            <w:pPr>
              <w:rPr>
                <w:rFonts w:ascii="Verdana" w:hAnsi="Verdana" w:cs="Calibri"/>
                <w:color w:val="000000"/>
                <w:sz w:val="18"/>
                <w:szCs w:val="18"/>
              </w:rPr>
            </w:pPr>
          </w:p>
          <w:p w:rsidR="004132A7" w:rsidRDefault="004132A7" w:rsidP="00844D8A">
            <w:pPr>
              <w:rPr>
                <w:rFonts w:cs="Calibri"/>
                <w:b/>
                <w:u w:val="single"/>
              </w:rPr>
            </w:pPr>
            <w:r w:rsidRPr="00844D8A">
              <w:rPr>
                <w:rFonts w:cs="Calibri"/>
                <w:b/>
                <w:highlight w:val="cyan"/>
                <w:u w:val="single"/>
              </w:rPr>
              <w:t>WEEK12</w:t>
            </w:r>
          </w:p>
          <w:p w:rsidR="004132A7" w:rsidRPr="00844D8A" w:rsidRDefault="004132A7" w:rsidP="00844D8A">
            <w:pPr>
              <w:rPr>
                <w:rFonts w:cs="Calibri"/>
              </w:rPr>
            </w:pPr>
          </w:p>
          <w:p w:rsidR="004132A7" w:rsidRDefault="004132A7" w:rsidP="00844D8A">
            <w:pPr>
              <w:rPr>
                <w:rFonts w:cs="Calibri"/>
              </w:rPr>
            </w:pPr>
            <w:smartTag w:uri="urn:schemas-microsoft-com:office:smarttags" w:element="place">
              <w:smartTag w:uri="urn:schemas-microsoft-com:office:smarttags" w:element="country-region">
                <w:r>
                  <w:rPr>
                    <w:rFonts w:cs="Calibri"/>
                  </w:rPr>
                  <w:t>US</w:t>
                </w:r>
              </w:smartTag>
            </w:smartTag>
            <w:r>
              <w:rPr>
                <w:rFonts w:cs="Calibri"/>
              </w:rPr>
              <w:t xml:space="preserve"> Gov </w:t>
            </w:r>
            <w:r w:rsidRPr="00844D8A">
              <w:rPr>
                <w:rFonts w:cs="Calibri"/>
              </w:rPr>
              <w:t xml:space="preserve">Social Security Payment Wed </w:t>
            </w:r>
            <w:r>
              <w:rPr>
                <w:rFonts w:cs="Calibri"/>
              </w:rPr>
              <w:t xml:space="preserve">20th approx 24 billion added to liquidity </w:t>
            </w:r>
            <w:r w:rsidRPr="00844D8A">
              <w:rPr>
                <w:rFonts w:cs="Calibri"/>
              </w:rPr>
              <w:t>// NY open expect USD to fall 50 pips</w:t>
            </w:r>
            <w:r>
              <w:rPr>
                <w:rFonts w:cs="Calibri"/>
              </w:rPr>
              <w:t>. Sell UC</w:t>
            </w:r>
          </w:p>
          <w:p w:rsidR="004132A7" w:rsidRPr="00844D8A" w:rsidRDefault="004132A7" w:rsidP="00844D8A">
            <w:pPr>
              <w:rPr>
                <w:rFonts w:cs="Calibri"/>
              </w:rPr>
            </w:pPr>
          </w:p>
          <w:p w:rsidR="004132A7" w:rsidRDefault="004132A7" w:rsidP="00844D8A">
            <w:pPr>
              <w:rPr>
                <w:rFonts w:cs="Calibri"/>
              </w:rPr>
            </w:pPr>
            <w:r w:rsidRPr="00844D8A">
              <w:rPr>
                <w:rFonts w:cs="Calibri"/>
              </w:rPr>
              <w:t>FOMC Wed 6.00pm</w:t>
            </w:r>
          </w:p>
          <w:p w:rsidR="004132A7" w:rsidRDefault="004132A7" w:rsidP="00844D8A">
            <w:pPr>
              <w:rPr>
                <w:rFonts w:cs="Calibri"/>
              </w:rPr>
            </w:pPr>
            <w:r>
              <w:rPr>
                <w:rFonts w:cs="Calibri"/>
              </w:rPr>
              <w:t>Good News - Sell Rallies Aud/Nzd.</w:t>
            </w:r>
          </w:p>
          <w:p w:rsidR="004132A7" w:rsidRPr="00844D8A" w:rsidRDefault="004132A7" w:rsidP="00844D8A">
            <w:pPr>
              <w:rPr>
                <w:rFonts w:cs="Calibri"/>
              </w:rPr>
            </w:pPr>
          </w:p>
          <w:p w:rsidR="004132A7" w:rsidRPr="00DE43B8" w:rsidRDefault="004132A7" w:rsidP="003D51D0">
            <w:pPr>
              <w:rPr>
                <w:rFonts w:ascii="Verdana" w:hAnsi="Verdana" w:cs="Calibri"/>
                <w:color w:val="000000"/>
                <w:sz w:val="18"/>
                <w:szCs w:val="18"/>
              </w:rPr>
            </w:pPr>
            <w:r w:rsidRPr="00106BC5">
              <w:rPr>
                <w:rFonts w:ascii="Verdana" w:hAnsi="Verdana" w:cs="Calibri"/>
                <w:color w:val="000000"/>
                <w:sz w:val="18"/>
                <w:szCs w:val="18"/>
              </w:rPr>
              <w:t>In the context of markets now seeing greater odds for rate cuts moving forward, a dot plot pointing to even one hike in 2019 could come as a ‘hawkish surprise’, putting the wind back into the dollar’s sails.</w:t>
            </w:r>
          </w:p>
          <w:p w:rsidR="004132A7" w:rsidRDefault="004132A7" w:rsidP="003D51D0">
            <w:pPr>
              <w:rPr>
                <w:rFonts w:ascii="Verdana" w:hAnsi="Verdana" w:cs="Calibri"/>
                <w:color w:val="000000"/>
                <w:sz w:val="18"/>
                <w:szCs w:val="18"/>
              </w:rPr>
            </w:pPr>
          </w:p>
          <w:p w:rsidR="004132A7" w:rsidRDefault="004132A7" w:rsidP="003D51D0">
            <w:pPr>
              <w:rPr>
                <w:rFonts w:ascii="Verdana" w:hAnsi="Verdana" w:cs="Calibri"/>
                <w:color w:val="000000"/>
                <w:sz w:val="18"/>
                <w:szCs w:val="18"/>
              </w:rPr>
            </w:pPr>
            <w:r>
              <w:rPr>
                <w:rFonts w:ascii="Verdana" w:hAnsi="Verdana" w:cs="Calibri"/>
                <w:color w:val="000000"/>
                <w:sz w:val="18"/>
                <w:szCs w:val="18"/>
              </w:rPr>
              <w:t>UJ Positive correlation with S&amp;P</w:t>
            </w:r>
          </w:p>
          <w:p w:rsidR="004132A7" w:rsidRPr="00DE43B8" w:rsidRDefault="004132A7" w:rsidP="003D51D0">
            <w:pPr>
              <w:rPr>
                <w:rFonts w:ascii="Verdana" w:hAnsi="Verdana" w:cs="Calibri"/>
                <w:color w:val="000000"/>
                <w:sz w:val="18"/>
                <w:szCs w:val="18"/>
              </w:rPr>
            </w:pPr>
          </w:p>
          <w:p w:rsidR="004132A7" w:rsidRPr="00DE43B8" w:rsidRDefault="004132A7" w:rsidP="006E760B">
            <w:pPr>
              <w:rPr>
                <w:rFonts w:cs="Calibri"/>
              </w:rPr>
            </w:pPr>
          </w:p>
        </w:tc>
      </w:tr>
      <w:tr w:rsidR="004132A7" w:rsidRPr="00DE43B8" w:rsidTr="0068279B">
        <w:tc>
          <w:tcPr>
            <w:tcW w:w="9631" w:type="dxa"/>
            <w:shd w:val="clear" w:color="auto" w:fill="FF99CC"/>
          </w:tcPr>
          <w:p w:rsidR="004132A7" w:rsidRPr="00DE43B8" w:rsidRDefault="004132A7" w:rsidP="00BF2C62">
            <w:pPr>
              <w:rPr>
                <w:rFonts w:cs="Calibri"/>
              </w:rPr>
            </w:pPr>
            <w:r w:rsidRPr="00DE43B8">
              <w:rPr>
                <w:rFonts w:cs="Calibri"/>
                <w:b/>
              </w:rPr>
              <w:t>CAD – Rate 1.75</w:t>
            </w:r>
          </w:p>
        </w:tc>
      </w:tr>
      <w:tr w:rsidR="004132A7" w:rsidRPr="00DE43B8" w:rsidTr="0068279B">
        <w:tc>
          <w:tcPr>
            <w:tcW w:w="9631" w:type="dxa"/>
          </w:tcPr>
          <w:p w:rsidR="004132A7" w:rsidRPr="00DE43B8" w:rsidRDefault="004132A7" w:rsidP="006E760B">
            <w:pPr>
              <w:rPr>
                <w:rFonts w:cs="Calibri"/>
              </w:rPr>
            </w:pPr>
            <w:r w:rsidRPr="00DE43B8">
              <w:rPr>
                <w:rFonts w:cs="Calibri"/>
              </w:rPr>
              <w:t xml:space="preserve">Markit revealed a slight miss in the February manufacturing PMI data </w:t>
            </w:r>
            <w:r w:rsidRPr="00DE43B8">
              <w:rPr>
                <w:rFonts w:cs="Calibri"/>
                <w:color w:val="FF0000"/>
              </w:rPr>
              <w:t xml:space="preserve">52.6 </w:t>
            </w:r>
            <w:r w:rsidRPr="00DE43B8">
              <w:rPr>
                <w:rFonts w:cs="Calibri"/>
              </w:rPr>
              <w:t>vs. 53.0 Exp, confirming that the Q4 slowdown has carried over into Q1 of this year</w:t>
            </w:r>
          </w:p>
          <w:p w:rsidR="004132A7" w:rsidRPr="00DE43B8" w:rsidRDefault="004132A7" w:rsidP="006E760B">
            <w:pPr>
              <w:rPr>
                <w:rFonts w:cs="Calibri"/>
              </w:rPr>
            </w:pPr>
          </w:p>
          <w:p w:rsidR="004132A7" w:rsidRPr="00DE43B8" w:rsidRDefault="004132A7" w:rsidP="006E760B">
            <w:pPr>
              <w:rPr>
                <w:rFonts w:cs="Calibri"/>
              </w:rPr>
            </w:pPr>
            <w:r w:rsidRPr="00DE43B8">
              <w:rPr>
                <w:rFonts w:cs="Calibri"/>
              </w:rPr>
              <w:t>March 6</w:t>
            </w:r>
            <w:r w:rsidRPr="00DE43B8">
              <w:rPr>
                <w:rFonts w:cs="Calibri"/>
                <w:vertAlign w:val="superscript"/>
              </w:rPr>
              <w:t>TH</w:t>
            </w:r>
          </w:p>
          <w:p w:rsidR="004132A7" w:rsidRPr="00DE43B8" w:rsidRDefault="004132A7" w:rsidP="006E760B">
            <w:pPr>
              <w:rPr>
                <w:rFonts w:cs="Calibri"/>
              </w:rPr>
            </w:pPr>
            <w:r w:rsidRPr="00DE43B8">
              <w:rPr>
                <w:rFonts w:cs="Calibri"/>
              </w:rPr>
              <w:t>BOC</w:t>
            </w:r>
          </w:p>
          <w:p w:rsidR="004132A7" w:rsidRPr="00DE43B8" w:rsidRDefault="004132A7" w:rsidP="006E760B">
            <w:pPr>
              <w:rPr>
                <w:rFonts w:cs="Calibri"/>
              </w:rPr>
            </w:pPr>
            <w:r w:rsidRPr="00DE43B8">
              <w:rPr>
                <w:rFonts w:cs="Calibri"/>
              </w:rPr>
              <w:t>After growing at a pace of 1.8 per cent in 2018, it now appears that the economy will be weaker in the first half of 2019 than the Bank projected in January. With increased uncertainty about the timing of future rate increases, Governing Council will be watching closely developments in household spending, oil markets, and global trade policy.</w:t>
            </w:r>
          </w:p>
          <w:p w:rsidR="004132A7" w:rsidRPr="00DE43B8" w:rsidRDefault="004132A7" w:rsidP="006E760B">
            <w:pPr>
              <w:rPr>
                <w:rFonts w:cs="Calibri"/>
              </w:rPr>
            </w:pPr>
          </w:p>
          <w:p w:rsidR="004132A7" w:rsidRPr="00DE43B8" w:rsidRDefault="004132A7" w:rsidP="006E760B">
            <w:pPr>
              <w:rPr>
                <w:rFonts w:cs="Calibri"/>
              </w:rPr>
            </w:pPr>
            <w:r w:rsidRPr="00DE43B8">
              <w:rPr>
                <w:rFonts w:cs="Calibri"/>
                <w:highlight w:val="yellow"/>
              </w:rPr>
              <w:t>More dovish. Delay in any hikes. If data deteriorates possibly a cut.</w:t>
            </w:r>
            <w:r w:rsidRPr="00DE43B8">
              <w:rPr>
                <w:rFonts w:cs="Calibri"/>
              </w:rPr>
              <w:t xml:space="preserve"> Big change in BOC outlook.</w:t>
            </w:r>
          </w:p>
          <w:p w:rsidR="004132A7" w:rsidRDefault="004132A7" w:rsidP="006E760B">
            <w:pPr>
              <w:rPr>
                <w:rFonts w:cs="Calibri"/>
              </w:rPr>
            </w:pPr>
            <w:r>
              <w:rPr>
                <w:rFonts w:cs="Calibri"/>
              </w:rPr>
              <w:t>Home sales for Feb significantly down.</w:t>
            </w:r>
          </w:p>
          <w:p w:rsidR="004132A7" w:rsidRDefault="004132A7" w:rsidP="006E760B">
            <w:pPr>
              <w:rPr>
                <w:rFonts w:cs="Calibri"/>
              </w:rPr>
            </w:pPr>
          </w:p>
          <w:p w:rsidR="004132A7" w:rsidRDefault="004132A7" w:rsidP="00CF1978">
            <w:pPr>
              <w:rPr>
                <w:rFonts w:cs="Calibri"/>
                <w:b/>
                <w:u w:val="single"/>
              </w:rPr>
            </w:pPr>
            <w:r w:rsidRPr="00844D8A">
              <w:rPr>
                <w:rFonts w:cs="Calibri"/>
                <w:b/>
                <w:highlight w:val="cyan"/>
                <w:u w:val="single"/>
              </w:rPr>
              <w:t>WEEK12</w:t>
            </w:r>
          </w:p>
          <w:p w:rsidR="004132A7" w:rsidRDefault="004132A7" w:rsidP="006E760B">
            <w:pPr>
              <w:rPr>
                <w:rFonts w:cs="Calibri"/>
              </w:rPr>
            </w:pPr>
            <w:r>
              <w:rPr>
                <w:rFonts w:cs="Calibri"/>
              </w:rPr>
              <w:t>Fri 12:30 CPI m/m</w:t>
            </w:r>
          </w:p>
          <w:p w:rsidR="004132A7" w:rsidRDefault="004132A7" w:rsidP="006E760B">
            <w:pPr>
              <w:rPr>
                <w:rFonts w:cs="Calibri"/>
              </w:rPr>
            </w:pPr>
          </w:p>
          <w:p w:rsidR="004132A7" w:rsidRPr="00DE43B8" w:rsidRDefault="004132A7" w:rsidP="006E760B">
            <w:pPr>
              <w:rPr>
                <w:rFonts w:cs="Calibri"/>
              </w:rPr>
            </w:pPr>
          </w:p>
          <w:p w:rsidR="004132A7" w:rsidRPr="00DE43B8" w:rsidRDefault="004132A7" w:rsidP="006E760B">
            <w:pPr>
              <w:rPr>
                <w:rFonts w:cs="Calibri"/>
              </w:rPr>
            </w:pPr>
          </w:p>
        </w:tc>
      </w:tr>
      <w:tr w:rsidR="004132A7" w:rsidRPr="00DE43B8" w:rsidTr="0068279B">
        <w:tc>
          <w:tcPr>
            <w:tcW w:w="9631" w:type="dxa"/>
            <w:shd w:val="clear" w:color="auto" w:fill="D0CECE"/>
          </w:tcPr>
          <w:p w:rsidR="004132A7" w:rsidRPr="00DE43B8" w:rsidRDefault="004132A7" w:rsidP="00BF2C62">
            <w:pPr>
              <w:rPr>
                <w:rFonts w:cs="Calibri"/>
              </w:rPr>
            </w:pPr>
            <w:r w:rsidRPr="00DE43B8">
              <w:rPr>
                <w:rFonts w:cs="Calibri"/>
                <w:b/>
              </w:rPr>
              <w:t>NZD – Rate 1.75</w:t>
            </w:r>
          </w:p>
        </w:tc>
      </w:tr>
      <w:tr w:rsidR="004132A7" w:rsidRPr="00DE43B8" w:rsidTr="0068279B">
        <w:tc>
          <w:tcPr>
            <w:tcW w:w="9631" w:type="dxa"/>
          </w:tcPr>
          <w:p w:rsidR="004132A7" w:rsidRDefault="004132A7" w:rsidP="006E760B">
            <w:pPr>
              <w:rPr>
                <w:rFonts w:cs="Calibri"/>
                <w:u w:val="single"/>
              </w:rPr>
            </w:pPr>
            <w:r w:rsidRPr="00DE43B8">
              <w:rPr>
                <w:rFonts w:cs="Calibri"/>
              </w:rPr>
              <w:t>Fundamental support for weak NZD.</w:t>
            </w:r>
            <w:r>
              <w:rPr>
                <w:rFonts w:cs="Calibri"/>
              </w:rPr>
              <w:t xml:space="preserve"> </w:t>
            </w:r>
            <w:r w:rsidRPr="00DE43B8">
              <w:rPr>
                <w:rFonts w:cs="Calibri"/>
                <w:u w:val="single"/>
              </w:rPr>
              <w:t>Sell Rallies.</w:t>
            </w:r>
            <w:r>
              <w:rPr>
                <w:rFonts w:cs="Calibri"/>
                <w:u w:val="single"/>
              </w:rPr>
              <w:t xml:space="preserve"> </w:t>
            </w:r>
          </w:p>
          <w:p w:rsidR="004132A7" w:rsidRPr="00DE43B8" w:rsidRDefault="004132A7" w:rsidP="006E760B">
            <w:pPr>
              <w:rPr>
                <w:rFonts w:cs="Calibri"/>
              </w:rPr>
            </w:pPr>
            <w:r w:rsidRPr="00DE43B8">
              <w:rPr>
                <w:rFonts w:cs="Calibri"/>
              </w:rPr>
              <w:t>ANZ. Look to long. Davit preference buy below 1.1</w:t>
            </w:r>
          </w:p>
          <w:p w:rsidR="004132A7" w:rsidRPr="00DE43B8" w:rsidRDefault="004132A7" w:rsidP="006E760B">
            <w:pPr>
              <w:rPr>
                <w:rFonts w:cs="Calibri"/>
              </w:rPr>
            </w:pPr>
          </w:p>
          <w:p w:rsidR="004132A7" w:rsidRPr="00DE43B8" w:rsidRDefault="004132A7" w:rsidP="006E760B">
            <w:pPr>
              <w:rPr>
                <w:rFonts w:cs="Calibri"/>
              </w:rPr>
            </w:pPr>
            <w:r w:rsidRPr="00DE43B8">
              <w:rPr>
                <w:rFonts w:cs="Calibri"/>
              </w:rPr>
              <w:t xml:space="preserve">NZD not as vulnerable to </w:t>
            </w:r>
            <w:smartTag w:uri="urn:schemas-microsoft-com:office:smarttags" w:element="country-region">
              <w:smartTag w:uri="urn:schemas-microsoft-com:office:smarttags" w:element="place">
                <w:r w:rsidRPr="00DE43B8">
                  <w:rPr>
                    <w:rFonts w:cs="Calibri"/>
                  </w:rPr>
                  <w:t>China</w:t>
                </w:r>
              </w:smartTag>
            </w:smartTag>
            <w:r w:rsidRPr="00DE43B8">
              <w:rPr>
                <w:rFonts w:cs="Calibri"/>
              </w:rPr>
              <w:t xml:space="preserve">. </w:t>
            </w:r>
            <w:smartTag w:uri="urn:schemas-microsoft-com:office:smarttags" w:element="country-region">
              <w:smartTag w:uri="urn:schemas-microsoft-com:office:smarttags" w:element="place">
                <w:r w:rsidRPr="00DE43B8">
                  <w:rPr>
                    <w:rFonts w:cs="Calibri"/>
                  </w:rPr>
                  <w:t>China</w:t>
                </w:r>
              </w:smartTag>
            </w:smartTag>
            <w:r w:rsidRPr="00DE43B8">
              <w:rPr>
                <w:rFonts w:cs="Calibri"/>
              </w:rPr>
              <w:t xml:space="preserve"> deal will have a bigger effect on Aud. NZD sells soft goods. Whereas AUD sell construction materials.</w:t>
            </w:r>
          </w:p>
          <w:p w:rsidR="004132A7" w:rsidRPr="00DE43B8" w:rsidRDefault="004132A7" w:rsidP="006E760B">
            <w:pPr>
              <w:rPr>
                <w:rFonts w:cs="Calibri"/>
              </w:rPr>
            </w:pPr>
          </w:p>
          <w:p w:rsidR="004132A7" w:rsidRPr="00DE43B8" w:rsidRDefault="004132A7" w:rsidP="006E760B">
            <w:pPr>
              <w:rPr>
                <w:rFonts w:cs="Calibri"/>
              </w:rPr>
            </w:pPr>
            <w:r w:rsidRPr="00DE43B8">
              <w:rPr>
                <w:rFonts w:cs="Calibri"/>
              </w:rPr>
              <w:t xml:space="preserve">The </w:t>
            </w:r>
            <w:smartTag w:uri="urn:schemas-microsoft-com:office:smarttags" w:element="country-region">
              <w:smartTag w:uri="urn:schemas-microsoft-com:office:smarttags" w:element="place">
                <w:r w:rsidRPr="00DE43B8">
                  <w:rPr>
                    <w:rFonts w:cs="Calibri"/>
                  </w:rPr>
                  <w:t>New Zealand</w:t>
                </w:r>
              </w:smartTag>
            </w:smartTag>
            <w:r w:rsidRPr="00DE43B8">
              <w:rPr>
                <w:rFonts w:cs="Calibri"/>
              </w:rPr>
              <w:t xml:space="preserve"> dollar, on the other hand, has fundamental support for its decline. Despite the recovery in dairy prices, the country’s trade surplus turned into a deficit in the month of January.</w:t>
            </w:r>
          </w:p>
          <w:p w:rsidR="004132A7" w:rsidRDefault="004132A7" w:rsidP="006E760B">
            <w:pPr>
              <w:rPr>
                <w:rFonts w:cs="Calibri"/>
              </w:rPr>
            </w:pPr>
            <w:r w:rsidRPr="00DE43B8">
              <w:rPr>
                <w:rFonts w:cs="Calibri"/>
              </w:rPr>
              <w:t>The balance was three times worse than expected and accompanied by a significant downward revision to the January figures. Although a large part of the deterioration was caused by higher crude prices</w:t>
            </w:r>
            <w:r>
              <w:rPr>
                <w:rFonts w:cs="Calibri"/>
              </w:rPr>
              <w:t>.</w:t>
            </w:r>
          </w:p>
          <w:p w:rsidR="004132A7" w:rsidRPr="00DE43B8" w:rsidRDefault="004132A7" w:rsidP="006E760B">
            <w:pPr>
              <w:rPr>
                <w:rFonts w:cs="Calibri"/>
              </w:rPr>
            </w:pPr>
          </w:p>
          <w:p w:rsidR="004132A7" w:rsidRPr="00DE43B8" w:rsidRDefault="004132A7" w:rsidP="006E760B">
            <w:pPr>
              <w:rPr>
                <w:rFonts w:cs="Calibri"/>
              </w:rPr>
            </w:pPr>
            <w:r w:rsidRPr="00DE43B8">
              <w:rPr>
                <w:rFonts w:cs="Calibri"/>
              </w:rPr>
              <w:t>NZD like JPY is affected by higher crude prices.</w:t>
            </w:r>
          </w:p>
          <w:p w:rsidR="004132A7" w:rsidRPr="00DE43B8" w:rsidRDefault="004132A7" w:rsidP="006E760B">
            <w:pPr>
              <w:rPr>
                <w:rFonts w:cs="Calibri"/>
              </w:rPr>
            </w:pPr>
          </w:p>
          <w:p w:rsidR="004132A7" w:rsidRDefault="004132A7" w:rsidP="006E760B">
            <w:pPr>
              <w:rPr>
                <w:rFonts w:cs="Calibri"/>
              </w:rPr>
            </w:pPr>
          </w:p>
          <w:p w:rsidR="004132A7" w:rsidRPr="00844D8A" w:rsidRDefault="004132A7" w:rsidP="005776E4">
            <w:pPr>
              <w:rPr>
                <w:rFonts w:cs="Calibri"/>
                <w:b/>
                <w:u w:val="single"/>
              </w:rPr>
            </w:pPr>
            <w:r w:rsidRPr="00844D8A">
              <w:rPr>
                <w:rFonts w:cs="Calibri"/>
                <w:b/>
                <w:highlight w:val="cyan"/>
                <w:u w:val="single"/>
              </w:rPr>
              <w:t>WEEK12</w:t>
            </w:r>
          </w:p>
          <w:p w:rsidR="004132A7" w:rsidRDefault="004132A7" w:rsidP="006E760B">
            <w:pPr>
              <w:rPr>
                <w:rFonts w:cs="Calibri"/>
              </w:rPr>
            </w:pPr>
            <w:r>
              <w:rPr>
                <w:rFonts w:cs="Calibri"/>
              </w:rPr>
              <w:t>Tues - GDP Milk price index</w:t>
            </w:r>
          </w:p>
          <w:p w:rsidR="004132A7" w:rsidRDefault="004132A7" w:rsidP="006E760B">
            <w:pPr>
              <w:rPr>
                <w:rFonts w:cs="Calibri"/>
              </w:rPr>
            </w:pPr>
            <w:r>
              <w:rPr>
                <w:rFonts w:cs="Calibri"/>
              </w:rPr>
              <w:t>Wed 12:45 GDP.</w:t>
            </w:r>
          </w:p>
          <w:p w:rsidR="004132A7" w:rsidRDefault="004132A7" w:rsidP="006E760B">
            <w:pPr>
              <w:rPr>
                <w:rFonts w:cs="Calibri"/>
              </w:rPr>
            </w:pPr>
            <w:r>
              <w:rPr>
                <w:rFonts w:cs="Calibri"/>
              </w:rPr>
              <w:t>M</w:t>
            </w:r>
            <w:r w:rsidRPr="00960789">
              <w:rPr>
                <w:rFonts w:cs="Calibri"/>
              </w:rPr>
              <w:t>ay be instrumental in shaping market expectations around whether the RBNZ will cut interest rates later this year</w:t>
            </w:r>
            <w:r>
              <w:rPr>
                <w:rFonts w:cs="Calibri"/>
              </w:rPr>
              <w:t>.</w:t>
            </w:r>
          </w:p>
          <w:p w:rsidR="004132A7" w:rsidRDefault="004132A7" w:rsidP="006E760B">
            <w:pPr>
              <w:rPr>
                <w:rFonts w:cs="Calibri"/>
              </w:rPr>
            </w:pPr>
          </w:p>
          <w:p w:rsidR="004132A7" w:rsidRDefault="004132A7" w:rsidP="006E760B">
            <w:pPr>
              <w:rPr>
                <w:rFonts w:cs="Calibri"/>
              </w:rPr>
            </w:pPr>
            <w:r>
              <w:rPr>
                <w:rFonts w:cs="Calibri"/>
              </w:rPr>
              <w:t>If Aud good news and Nzd neutral or poor AUDNZD a buy</w:t>
            </w:r>
          </w:p>
          <w:p w:rsidR="004132A7" w:rsidRPr="00DE43B8" w:rsidRDefault="004132A7" w:rsidP="006E760B">
            <w:pPr>
              <w:rPr>
                <w:rFonts w:cs="Calibri"/>
              </w:rPr>
            </w:pPr>
          </w:p>
          <w:p w:rsidR="004132A7" w:rsidRPr="00DE43B8" w:rsidRDefault="004132A7" w:rsidP="006E760B">
            <w:pPr>
              <w:rPr>
                <w:rFonts w:cs="Calibri"/>
              </w:rPr>
            </w:pPr>
          </w:p>
        </w:tc>
      </w:tr>
      <w:tr w:rsidR="004132A7" w:rsidRPr="00DE43B8" w:rsidTr="0068279B">
        <w:tc>
          <w:tcPr>
            <w:tcW w:w="9631" w:type="dxa"/>
            <w:shd w:val="clear" w:color="auto" w:fill="FFFF99"/>
          </w:tcPr>
          <w:p w:rsidR="004132A7" w:rsidRPr="00DE43B8" w:rsidRDefault="004132A7" w:rsidP="00BF2C62">
            <w:pPr>
              <w:rPr>
                <w:rFonts w:cs="Calibri"/>
              </w:rPr>
            </w:pPr>
            <w:r w:rsidRPr="00DE43B8">
              <w:rPr>
                <w:rFonts w:cs="Calibri"/>
                <w:b/>
              </w:rPr>
              <w:t>AUD – Rate 1.5</w:t>
            </w:r>
          </w:p>
        </w:tc>
      </w:tr>
      <w:tr w:rsidR="004132A7" w:rsidRPr="00DE43B8" w:rsidTr="0068279B">
        <w:tc>
          <w:tcPr>
            <w:tcW w:w="9631" w:type="dxa"/>
          </w:tcPr>
          <w:p w:rsidR="004132A7" w:rsidRPr="00DE43B8" w:rsidRDefault="004132A7" w:rsidP="00E10562">
            <w:pPr>
              <w:rPr>
                <w:rFonts w:cs="Calibri"/>
              </w:rPr>
            </w:pPr>
            <w:r w:rsidRPr="00DE43B8">
              <w:rPr>
                <w:rFonts w:cs="Calibri"/>
                <w:u w:val="single"/>
              </w:rPr>
              <w:t>Good Value &lt; 0.70 particularly in late 60’s</w:t>
            </w:r>
            <w:r w:rsidRPr="00DE43B8">
              <w:rPr>
                <w:rFonts w:cs="Calibri"/>
              </w:rPr>
              <w:t xml:space="preserve"> . LT target 0.85.</w:t>
            </w:r>
            <w:r>
              <w:rPr>
                <w:rFonts w:cs="Calibri"/>
              </w:rPr>
              <w:t xml:space="preserve">  </w:t>
            </w:r>
            <w:r w:rsidRPr="00DE43B8">
              <w:rPr>
                <w:rFonts w:cs="Calibri"/>
              </w:rPr>
              <w:t>AJ a favourite pair.</w:t>
            </w:r>
          </w:p>
          <w:p w:rsidR="004132A7" w:rsidRPr="00DE43B8" w:rsidRDefault="004132A7" w:rsidP="006E760B">
            <w:pPr>
              <w:rPr>
                <w:rFonts w:cs="Calibri"/>
              </w:rPr>
            </w:pPr>
            <w:r w:rsidRPr="00DE43B8">
              <w:rPr>
                <w:rFonts w:cs="Calibri"/>
              </w:rPr>
              <w:t xml:space="preserve">May election. </w:t>
            </w:r>
          </w:p>
          <w:p w:rsidR="004132A7" w:rsidRPr="00DE43B8" w:rsidRDefault="004132A7" w:rsidP="006E760B">
            <w:pPr>
              <w:rPr>
                <w:rFonts w:cs="Calibri"/>
              </w:rPr>
            </w:pPr>
            <w:r w:rsidRPr="00DE43B8">
              <w:rPr>
                <w:rFonts w:cs="Calibri"/>
              </w:rPr>
              <w:t>Housing sector decline could affect employment numbers.</w:t>
            </w:r>
          </w:p>
          <w:p w:rsidR="004132A7" w:rsidRPr="00DE43B8" w:rsidRDefault="004132A7" w:rsidP="006E760B">
            <w:pPr>
              <w:rPr>
                <w:rFonts w:cs="Calibri"/>
              </w:rPr>
            </w:pPr>
            <w:r w:rsidRPr="00DE43B8">
              <w:rPr>
                <w:rFonts w:cs="Calibri"/>
              </w:rPr>
              <w:t xml:space="preserve">Affected by sell off in Gold. </w:t>
            </w:r>
          </w:p>
          <w:p w:rsidR="004132A7" w:rsidRPr="00DE43B8" w:rsidRDefault="004132A7" w:rsidP="006E760B">
            <w:pPr>
              <w:rPr>
                <w:rFonts w:cs="Calibri"/>
              </w:rPr>
            </w:pPr>
          </w:p>
          <w:p w:rsidR="004132A7" w:rsidRPr="00DE43B8" w:rsidRDefault="004132A7" w:rsidP="006E760B">
            <w:pPr>
              <w:rPr>
                <w:rFonts w:cs="Calibri"/>
              </w:rPr>
            </w:pPr>
            <w:r w:rsidRPr="00DE43B8">
              <w:rPr>
                <w:rFonts w:cs="Calibri"/>
              </w:rPr>
              <w:t>RBA March5th</w:t>
            </w:r>
          </w:p>
          <w:p w:rsidR="004132A7" w:rsidRPr="00DE43B8" w:rsidRDefault="004132A7" w:rsidP="006E760B">
            <w:pPr>
              <w:rPr>
                <w:rFonts w:cs="Calibri"/>
              </w:rPr>
            </w:pPr>
            <w:r w:rsidRPr="00DE43B8">
              <w:rPr>
                <w:rFonts w:cs="Calibri"/>
              </w:rPr>
              <w:t>Neutral tone. No rate cut hinted at. Unlikely to be a move lower in the near term.</w:t>
            </w:r>
          </w:p>
          <w:p w:rsidR="004132A7" w:rsidRPr="00DE43B8" w:rsidRDefault="004132A7" w:rsidP="006E760B">
            <w:pPr>
              <w:rPr>
                <w:rFonts w:cs="Calibri"/>
              </w:rPr>
            </w:pPr>
          </w:p>
          <w:p w:rsidR="004132A7" w:rsidRPr="00DE43B8" w:rsidRDefault="004132A7" w:rsidP="003B7085">
            <w:pPr>
              <w:rPr>
                <w:rFonts w:cs="Calibri"/>
              </w:rPr>
            </w:pPr>
            <w:r w:rsidRPr="00DE43B8">
              <w:rPr>
                <w:rFonts w:cs="Calibri"/>
              </w:rPr>
              <w:t xml:space="preserve">RBA Gov Lowe: Hard To Think Of Scenario Where Rates Rise This Year RBA Governor Philip Lowe Comments In </w:t>
            </w:r>
            <w:smartTag w:uri="urn:schemas-microsoft-com:office:smarttags" w:element="country-region">
              <w:r w:rsidRPr="00DE43B8">
                <w:rPr>
                  <w:rFonts w:cs="Calibri"/>
                </w:rPr>
                <w:t>Sydney</w:t>
              </w:r>
            </w:smartTag>
            <w:r w:rsidRPr="00DE43B8">
              <w:rPr>
                <w:rFonts w:cs="Calibri"/>
              </w:rPr>
              <w:t>. (This is the second or third time he has talked the AUD down.)</w:t>
            </w:r>
          </w:p>
          <w:p w:rsidR="004132A7" w:rsidRPr="00DE43B8" w:rsidRDefault="004132A7" w:rsidP="006E760B">
            <w:pPr>
              <w:rPr>
                <w:rFonts w:cs="Calibri"/>
              </w:rPr>
            </w:pPr>
          </w:p>
          <w:p w:rsidR="004132A7" w:rsidRPr="00DE43B8" w:rsidRDefault="004132A7" w:rsidP="006E760B">
            <w:pPr>
              <w:rPr>
                <w:rFonts w:cs="Calibri"/>
              </w:rPr>
            </w:pPr>
            <w:r w:rsidRPr="00DE43B8">
              <w:rPr>
                <w:rFonts w:cs="Calibri"/>
                <w:highlight w:val="yellow"/>
              </w:rPr>
              <w:t>Due to Q4 GDP miss 0.2 vs 0.5 expected. Possibility of two 25bp rate cuts later this year.</w:t>
            </w:r>
          </w:p>
          <w:p w:rsidR="004132A7" w:rsidRPr="00DE43B8" w:rsidRDefault="004132A7" w:rsidP="006E760B">
            <w:pPr>
              <w:rPr>
                <w:rFonts w:cs="Calibri"/>
              </w:rPr>
            </w:pPr>
            <w:r w:rsidRPr="00DE43B8">
              <w:rPr>
                <w:rFonts w:cs="Calibri"/>
              </w:rPr>
              <w:t>A mild disappointment on retail sales.</w:t>
            </w:r>
          </w:p>
          <w:p w:rsidR="004132A7" w:rsidRPr="00DE43B8" w:rsidRDefault="004132A7" w:rsidP="006E760B">
            <w:pPr>
              <w:rPr>
                <w:rFonts w:cs="Calibri"/>
              </w:rPr>
            </w:pPr>
          </w:p>
          <w:p w:rsidR="004132A7" w:rsidRPr="00DE43B8" w:rsidRDefault="004132A7" w:rsidP="006E760B">
            <w:pPr>
              <w:rPr>
                <w:rFonts w:cs="Calibri"/>
              </w:rPr>
            </w:pPr>
            <w:r w:rsidRPr="00DE43B8">
              <w:rPr>
                <w:rFonts w:cs="Calibri"/>
              </w:rPr>
              <w:t>Optimism in Trade Talks.</w:t>
            </w:r>
          </w:p>
          <w:p w:rsidR="004132A7" w:rsidRDefault="004132A7" w:rsidP="006E760B">
            <w:pPr>
              <w:rPr>
                <w:rFonts w:cs="Calibri"/>
              </w:rPr>
            </w:pPr>
          </w:p>
          <w:p w:rsidR="004132A7" w:rsidRPr="007762D6" w:rsidRDefault="004132A7" w:rsidP="006E760B">
            <w:pPr>
              <w:rPr>
                <w:rFonts w:cs="Calibri"/>
                <w:b/>
                <w:u w:val="single"/>
              </w:rPr>
            </w:pPr>
            <w:r w:rsidRPr="007762D6">
              <w:rPr>
                <w:rFonts w:cs="Calibri"/>
                <w:b/>
                <w:highlight w:val="cyan"/>
                <w:u w:val="single"/>
              </w:rPr>
              <w:t>WEEK12</w:t>
            </w:r>
          </w:p>
          <w:p w:rsidR="004132A7" w:rsidRDefault="004132A7" w:rsidP="006E760B">
            <w:pPr>
              <w:rPr>
                <w:rFonts w:cs="Calibri"/>
              </w:rPr>
            </w:pPr>
            <w:r w:rsidRPr="007762D6">
              <w:rPr>
                <w:rFonts w:cs="Calibri"/>
              </w:rPr>
              <w:t>Tues 12:30 am</w:t>
            </w:r>
          </w:p>
          <w:p w:rsidR="004132A7" w:rsidRPr="007762D6" w:rsidRDefault="004132A7" w:rsidP="006E760B">
            <w:pPr>
              <w:rPr>
                <w:rFonts w:cs="Calibri"/>
              </w:rPr>
            </w:pPr>
            <w:r>
              <w:rPr>
                <w:rFonts w:cs="Calibri"/>
              </w:rPr>
              <w:t>Thurs 12:30 employment change</w:t>
            </w:r>
          </w:p>
          <w:p w:rsidR="004132A7" w:rsidRDefault="004132A7" w:rsidP="006E760B">
            <w:pPr>
              <w:rPr>
                <w:rFonts w:cs="Calibri"/>
              </w:rPr>
            </w:pPr>
            <w:r w:rsidRPr="00960789">
              <w:rPr>
                <w:rFonts w:cs="Calibri"/>
              </w:rPr>
              <w:t xml:space="preserve">Starting with </w:t>
            </w:r>
            <w:smartTag w:uri="urn:schemas-microsoft-com:office:smarttags" w:element="country-region">
              <w:r w:rsidRPr="00960789">
                <w:rPr>
                  <w:rFonts w:cs="Calibri"/>
                </w:rPr>
                <w:t>Australia</w:t>
              </w:r>
            </w:smartTag>
            <w:r w:rsidRPr="00960789">
              <w:rPr>
                <w:rFonts w:cs="Calibri"/>
              </w:rPr>
              <w:t>, the minutes of the latest RBA meeting will be released early on Tuesday, ahead of the nation’s latest employment data on Thursday.</w:t>
            </w:r>
          </w:p>
          <w:p w:rsidR="004132A7" w:rsidRDefault="004132A7" w:rsidP="006E760B">
            <w:pPr>
              <w:rPr>
                <w:rFonts w:cs="Calibri"/>
              </w:rPr>
            </w:pPr>
          </w:p>
          <w:p w:rsidR="004132A7" w:rsidRDefault="004132A7" w:rsidP="003832ED">
            <w:pPr>
              <w:rPr>
                <w:rFonts w:cs="Calibri"/>
              </w:rPr>
            </w:pPr>
            <w:r>
              <w:rPr>
                <w:rFonts w:cs="Calibri"/>
              </w:rPr>
              <w:t>If Aud good news and Nzd neutral or poor AUDNZD a buy</w:t>
            </w:r>
          </w:p>
          <w:p w:rsidR="004132A7" w:rsidRDefault="004132A7" w:rsidP="006E760B">
            <w:pPr>
              <w:rPr>
                <w:rFonts w:cs="Calibri"/>
              </w:rPr>
            </w:pPr>
            <w:r>
              <w:rPr>
                <w:rFonts w:cs="Calibri"/>
              </w:rPr>
              <w:t>IF S&amp;P up Jpy down // Buy Aud Jpy</w:t>
            </w:r>
          </w:p>
          <w:p w:rsidR="004132A7" w:rsidRDefault="004132A7" w:rsidP="006E760B">
            <w:pPr>
              <w:rPr>
                <w:rFonts w:cs="Calibri"/>
              </w:rPr>
            </w:pPr>
          </w:p>
          <w:p w:rsidR="004132A7" w:rsidRPr="00DE43B8" w:rsidRDefault="004132A7" w:rsidP="006E760B">
            <w:pPr>
              <w:rPr>
                <w:rFonts w:cs="Calibri"/>
              </w:rPr>
            </w:pPr>
          </w:p>
          <w:p w:rsidR="004132A7" w:rsidRPr="00DE43B8" w:rsidRDefault="004132A7" w:rsidP="006E760B">
            <w:pPr>
              <w:rPr>
                <w:rFonts w:cs="Calibri"/>
              </w:rPr>
            </w:pPr>
          </w:p>
        </w:tc>
      </w:tr>
      <w:tr w:rsidR="004132A7" w:rsidRPr="00DE43B8" w:rsidTr="0068279B">
        <w:tc>
          <w:tcPr>
            <w:tcW w:w="9631" w:type="dxa"/>
            <w:shd w:val="clear" w:color="auto" w:fill="FF9999"/>
          </w:tcPr>
          <w:p w:rsidR="004132A7" w:rsidRPr="00DE43B8" w:rsidRDefault="004132A7" w:rsidP="00BF2C62">
            <w:pPr>
              <w:rPr>
                <w:rFonts w:cs="Calibri"/>
              </w:rPr>
            </w:pPr>
            <w:r w:rsidRPr="00DE43B8">
              <w:rPr>
                <w:rFonts w:cs="Calibri"/>
                <w:b/>
              </w:rPr>
              <w:t>GBP – Rate 0.75</w:t>
            </w:r>
          </w:p>
        </w:tc>
      </w:tr>
      <w:tr w:rsidR="004132A7" w:rsidRPr="00DE43B8" w:rsidTr="0068279B">
        <w:tc>
          <w:tcPr>
            <w:tcW w:w="9631" w:type="dxa"/>
          </w:tcPr>
          <w:p w:rsidR="004132A7" w:rsidRPr="00DE43B8" w:rsidRDefault="004132A7" w:rsidP="006E760B">
            <w:pPr>
              <w:rPr>
                <w:rFonts w:cs="Calibri"/>
              </w:rPr>
            </w:pPr>
            <w:r w:rsidRPr="00DE43B8">
              <w:rPr>
                <w:rFonts w:cs="Calibri"/>
              </w:rPr>
              <w:t xml:space="preserve">Brexit // Possibly oversold. </w:t>
            </w:r>
          </w:p>
          <w:p w:rsidR="004132A7" w:rsidRPr="00DE43B8" w:rsidRDefault="004132A7" w:rsidP="006E760B">
            <w:pPr>
              <w:rPr>
                <w:rFonts w:cs="Calibri"/>
              </w:rPr>
            </w:pPr>
            <w:r w:rsidRPr="00DE43B8">
              <w:rPr>
                <w:rFonts w:cs="Calibri"/>
              </w:rPr>
              <w:t>Good value below 1.20 to 1.25 Buy at these levels.</w:t>
            </w:r>
          </w:p>
          <w:p w:rsidR="004132A7" w:rsidRPr="00DE43B8" w:rsidRDefault="004132A7" w:rsidP="006E760B">
            <w:pPr>
              <w:rPr>
                <w:rFonts w:cs="Calibri"/>
              </w:rPr>
            </w:pPr>
            <w:r w:rsidRPr="00DE43B8">
              <w:rPr>
                <w:rFonts w:cs="Calibri"/>
              </w:rPr>
              <w:t>Typically ranges between 1.35 to 1.71</w:t>
            </w:r>
          </w:p>
          <w:p w:rsidR="004132A7" w:rsidRPr="00DE43B8" w:rsidRDefault="004132A7" w:rsidP="006E760B">
            <w:pPr>
              <w:rPr>
                <w:rFonts w:cs="Calibri"/>
              </w:rPr>
            </w:pPr>
            <w:r w:rsidRPr="00DE43B8">
              <w:rPr>
                <w:rFonts w:cs="Calibri"/>
              </w:rPr>
              <w:t>GU – Long except outer S Zones</w:t>
            </w:r>
          </w:p>
          <w:p w:rsidR="004132A7" w:rsidRPr="00DE43B8" w:rsidRDefault="004132A7" w:rsidP="006E760B">
            <w:pPr>
              <w:rPr>
                <w:rFonts w:cs="Calibri"/>
              </w:rPr>
            </w:pPr>
          </w:p>
          <w:p w:rsidR="004132A7" w:rsidRPr="00DE43B8" w:rsidRDefault="004132A7" w:rsidP="006E760B">
            <w:pPr>
              <w:rPr>
                <w:rFonts w:cs="Calibri"/>
              </w:rPr>
            </w:pPr>
            <w:r w:rsidRPr="00DE43B8">
              <w:rPr>
                <w:rFonts w:cs="Calibri"/>
              </w:rPr>
              <w:t>EU prepared to give further guarantees on backstop.</w:t>
            </w:r>
          </w:p>
          <w:p w:rsidR="004132A7" w:rsidRDefault="004132A7" w:rsidP="006E760B">
            <w:pPr>
              <w:rPr>
                <w:rFonts w:cs="Calibri"/>
              </w:rPr>
            </w:pPr>
          </w:p>
          <w:p w:rsidR="004132A7" w:rsidRPr="007762D6" w:rsidRDefault="004132A7" w:rsidP="00A2679D">
            <w:pPr>
              <w:rPr>
                <w:rFonts w:cs="Calibri"/>
                <w:b/>
                <w:u w:val="single"/>
              </w:rPr>
            </w:pPr>
            <w:r w:rsidRPr="007762D6">
              <w:rPr>
                <w:rFonts w:cs="Calibri"/>
                <w:b/>
                <w:highlight w:val="cyan"/>
                <w:u w:val="single"/>
              </w:rPr>
              <w:t>WEEK12</w:t>
            </w:r>
          </w:p>
          <w:p w:rsidR="004132A7" w:rsidRDefault="004132A7" w:rsidP="006E760B">
            <w:pPr>
              <w:rPr>
                <w:rFonts w:cs="Calibri"/>
              </w:rPr>
            </w:pPr>
            <w:r>
              <w:rPr>
                <w:rFonts w:cs="Calibri"/>
              </w:rPr>
              <w:t>No trading due to Brexit</w:t>
            </w:r>
          </w:p>
          <w:p w:rsidR="004132A7" w:rsidRPr="00DE43B8" w:rsidRDefault="004132A7" w:rsidP="006E760B">
            <w:pPr>
              <w:rPr>
                <w:rFonts w:cs="Calibri"/>
              </w:rPr>
            </w:pPr>
          </w:p>
          <w:p w:rsidR="004132A7" w:rsidRPr="00DE43B8" w:rsidRDefault="004132A7" w:rsidP="006E760B">
            <w:pPr>
              <w:rPr>
                <w:rFonts w:cs="Calibri"/>
              </w:rPr>
            </w:pPr>
          </w:p>
        </w:tc>
      </w:tr>
      <w:tr w:rsidR="004132A7" w:rsidRPr="00DE43B8" w:rsidTr="0068279B">
        <w:tc>
          <w:tcPr>
            <w:tcW w:w="9631" w:type="dxa"/>
            <w:shd w:val="clear" w:color="auto" w:fill="33CCCC"/>
          </w:tcPr>
          <w:p w:rsidR="004132A7" w:rsidRPr="00EC18FF" w:rsidRDefault="004132A7" w:rsidP="002B7D06">
            <w:pPr>
              <w:rPr>
                <w:rFonts w:cs="Calibri"/>
                <w:b/>
              </w:rPr>
            </w:pPr>
            <w:r w:rsidRPr="00DE43B8">
              <w:rPr>
                <w:rFonts w:cs="Calibri"/>
                <w:b/>
              </w:rPr>
              <w:t>EUR – Rate 0</w:t>
            </w:r>
            <w:r>
              <w:rPr>
                <w:rFonts w:cs="Calibri"/>
                <w:b/>
              </w:rPr>
              <w:t>.0</w:t>
            </w:r>
          </w:p>
        </w:tc>
      </w:tr>
      <w:tr w:rsidR="004132A7" w:rsidRPr="00DE43B8" w:rsidTr="0068279B">
        <w:tc>
          <w:tcPr>
            <w:tcW w:w="9631" w:type="dxa"/>
          </w:tcPr>
          <w:p w:rsidR="004132A7" w:rsidRPr="00DE43B8" w:rsidRDefault="004132A7" w:rsidP="006E760B">
            <w:pPr>
              <w:rPr>
                <w:rFonts w:cs="Calibri"/>
              </w:rPr>
            </w:pPr>
            <w:r w:rsidRPr="00DE43B8">
              <w:rPr>
                <w:rFonts w:cs="Calibri"/>
              </w:rPr>
              <w:t xml:space="preserve">Ranging 1.10 – 1.16 </w:t>
            </w:r>
          </w:p>
          <w:p w:rsidR="004132A7" w:rsidRPr="00DE43B8" w:rsidRDefault="004132A7" w:rsidP="006E760B">
            <w:pPr>
              <w:rPr>
                <w:rFonts w:cs="Calibri"/>
              </w:rPr>
            </w:pPr>
            <w:r w:rsidRPr="00DE43B8">
              <w:rPr>
                <w:rFonts w:cs="Calibri"/>
              </w:rPr>
              <w:t>ECB Governing Council:</w:t>
            </w:r>
          </w:p>
          <w:p w:rsidR="004132A7" w:rsidRPr="00DE43B8" w:rsidRDefault="004132A7" w:rsidP="00DE43B8">
            <w:pPr>
              <w:pStyle w:val="ListParagraph"/>
              <w:numPr>
                <w:ilvl w:val="0"/>
                <w:numId w:val="3"/>
              </w:numPr>
              <w:rPr>
                <w:rFonts w:cs="Calibri"/>
              </w:rPr>
            </w:pPr>
            <w:r w:rsidRPr="00DE43B8">
              <w:rPr>
                <w:rFonts w:cs="Calibri"/>
              </w:rPr>
              <w:t>Rates to remain unchanged in 2019 and as long as necessary to approach inflation target of 2%</w:t>
            </w:r>
          </w:p>
          <w:p w:rsidR="004132A7" w:rsidRPr="00DE43B8" w:rsidRDefault="004132A7" w:rsidP="00DE43B8">
            <w:pPr>
              <w:pStyle w:val="ListParagraph"/>
              <w:numPr>
                <w:ilvl w:val="0"/>
                <w:numId w:val="3"/>
              </w:numPr>
              <w:rPr>
                <w:rFonts w:cs="Calibri"/>
              </w:rPr>
            </w:pPr>
            <w:r w:rsidRPr="00DE43B8">
              <w:rPr>
                <w:rFonts w:cs="Calibri"/>
              </w:rPr>
              <w:t>Re-invest maturing securities for as long as necessary</w:t>
            </w:r>
          </w:p>
          <w:p w:rsidR="004132A7" w:rsidRPr="00DE43B8" w:rsidRDefault="004132A7" w:rsidP="00DE43B8">
            <w:pPr>
              <w:pStyle w:val="ListParagraph"/>
              <w:numPr>
                <w:ilvl w:val="0"/>
                <w:numId w:val="3"/>
              </w:numPr>
              <w:rPr>
                <w:rFonts w:cs="Calibri"/>
              </w:rPr>
            </w:pPr>
            <w:r w:rsidRPr="00DE43B8">
              <w:rPr>
                <w:rFonts w:cs="Calibri"/>
              </w:rPr>
              <w:t>Issuing TLTRO (Targeted Long Term Refinancing Operations).</w:t>
            </w:r>
          </w:p>
          <w:p w:rsidR="004132A7" w:rsidRPr="00DE43B8" w:rsidRDefault="004132A7" w:rsidP="00DE43B8">
            <w:pPr>
              <w:pStyle w:val="ListParagraph"/>
              <w:numPr>
                <w:ilvl w:val="0"/>
                <w:numId w:val="3"/>
              </w:numPr>
              <w:rPr>
                <w:rFonts w:cs="Calibri"/>
              </w:rPr>
            </w:pPr>
            <w:r w:rsidRPr="00DE43B8">
              <w:rPr>
                <w:rFonts w:cs="Calibri"/>
              </w:rPr>
              <w:t>Ample degree of monetary accommodation still needed.</w:t>
            </w:r>
          </w:p>
          <w:p w:rsidR="004132A7" w:rsidRPr="00DE43B8" w:rsidRDefault="004132A7" w:rsidP="00DE43B8">
            <w:pPr>
              <w:pStyle w:val="ListParagraph"/>
              <w:numPr>
                <w:ilvl w:val="0"/>
                <w:numId w:val="3"/>
              </w:numPr>
              <w:rPr>
                <w:rFonts w:cs="Calibri"/>
              </w:rPr>
            </w:pPr>
            <w:r w:rsidRPr="00DE43B8">
              <w:rPr>
                <w:rFonts w:cs="Calibri"/>
              </w:rPr>
              <w:t>Likelihood of a recession low. Growth slow but steady.</w:t>
            </w:r>
          </w:p>
          <w:p w:rsidR="004132A7" w:rsidRPr="00DE43B8" w:rsidRDefault="004132A7" w:rsidP="006E760B">
            <w:pPr>
              <w:rPr>
                <w:rFonts w:cs="Calibri"/>
              </w:rPr>
            </w:pPr>
          </w:p>
          <w:p w:rsidR="004132A7" w:rsidRPr="00DE43B8" w:rsidRDefault="004132A7" w:rsidP="006E760B">
            <w:pPr>
              <w:rPr>
                <w:rFonts w:cs="Calibri"/>
              </w:rPr>
            </w:pPr>
            <w:r w:rsidRPr="00DE43B8">
              <w:rPr>
                <w:rFonts w:cs="Calibri"/>
              </w:rPr>
              <w:t>Significant weakening of data mostly due to external forces. Tariffs/China/Brexit/EM</w:t>
            </w:r>
          </w:p>
          <w:p w:rsidR="004132A7" w:rsidRPr="00DE43B8" w:rsidRDefault="004132A7" w:rsidP="006E760B">
            <w:pPr>
              <w:rPr>
                <w:rFonts w:cs="Calibri"/>
              </w:rPr>
            </w:pPr>
          </w:p>
          <w:p w:rsidR="004132A7" w:rsidRPr="00DE43B8" w:rsidRDefault="004132A7" w:rsidP="006E760B">
            <w:pPr>
              <w:rPr>
                <w:rFonts w:cs="Calibri"/>
              </w:rPr>
            </w:pPr>
            <w:r w:rsidRPr="00DE43B8">
              <w:rPr>
                <w:rFonts w:cs="Calibri"/>
              </w:rPr>
              <w:t>Forward guidance changed:             Dec Exp                 Now</w:t>
            </w:r>
          </w:p>
          <w:p w:rsidR="004132A7" w:rsidRPr="00DE43B8" w:rsidRDefault="004132A7" w:rsidP="006E760B">
            <w:pPr>
              <w:rPr>
                <w:rFonts w:cs="Calibri"/>
              </w:rPr>
            </w:pPr>
            <w:r w:rsidRPr="00DE43B8">
              <w:rPr>
                <w:rFonts w:cs="Calibri"/>
              </w:rPr>
              <w:t xml:space="preserve">                                               2019   1.7%                       </w:t>
            </w:r>
            <w:r w:rsidRPr="00DE43B8">
              <w:rPr>
                <w:rFonts w:cs="Calibri"/>
                <w:color w:val="FF0000"/>
              </w:rPr>
              <w:t>1.1%</w:t>
            </w:r>
          </w:p>
          <w:p w:rsidR="004132A7" w:rsidRPr="00DE43B8" w:rsidRDefault="004132A7" w:rsidP="006E760B">
            <w:pPr>
              <w:rPr>
                <w:rFonts w:cs="Calibri"/>
                <w:color w:val="FF0000"/>
              </w:rPr>
            </w:pPr>
            <w:r w:rsidRPr="00DE43B8">
              <w:rPr>
                <w:rFonts w:cs="Calibri"/>
              </w:rPr>
              <w:t xml:space="preserve">                                               2020   1.7%                       </w:t>
            </w:r>
            <w:r w:rsidRPr="00DE43B8">
              <w:rPr>
                <w:rFonts w:cs="Calibri"/>
                <w:color w:val="FF0000"/>
              </w:rPr>
              <w:t>1.6%</w:t>
            </w:r>
          </w:p>
          <w:p w:rsidR="004132A7" w:rsidRPr="00DE43B8" w:rsidRDefault="004132A7" w:rsidP="006E760B">
            <w:pPr>
              <w:rPr>
                <w:rFonts w:cs="Calibri"/>
              </w:rPr>
            </w:pPr>
          </w:p>
          <w:p w:rsidR="004132A7" w:rsidRPr="006375FD" w:rsidRDefault="004132A7" w:rsidP="006E760B">
            <w:pPr>
              <w:rPr>
                <w:rFonts w:cs="Calibri"/>
              </w:rPr>
            </w:pPr>
            <w:r w:rsidRPr="006375FD">
              <w:rPr>
                <w:rFonts w:cs="Calibri"/>
                <w:bCs/>
              </w:rPr>
              <w:t>Nordea We postponed our first and now only rate hike call to June 2020, with increased risk of no hikes in our forecast horizon</w:t>
            </w:r>
            <w:r w:rsidRPr="006375FD">
              <w:rPr>
                <w:rFonts w:cs="Calibri"/>
              </w:rPr>
              <w:t> (until the end of 2020). </w:t>
            </w:r>
          </w:p>
          <w:p w:rsidR="004132A7" w:rsidRDefault="004132A7" w:rsidP="006E760B">
            <w:pPr>
              <w:rPr>
                <w:rFonts w:cs="Calibri"/>
              </w:rPr>
            </w:pPr>
          </w:p>
          <w:p w:rsidR="004132A7" w:rsidRPr="007762D6" w:rsidRDefault="004132A7" w:rsidP="00FF6A9C">
            <w:pPr>
              <w:rPr>
                <w:rFonts w:cs="Calibri"/>
                <w:b/>
                <w:u w:val="single"/>
              </w:rPr>
            </w:pPr>
            <w:r w:rsidRPr="007762D6">
              <w:rPr>
                <w:rFonts w:cs="Calibri"/>
                <w:b/>
                <w:highlight w:val="cyan"/>
                <w:u w:val="single"/>
              </w:rPr>
              <w:t>WEEK12</w:t>
            </w:r>
          </w:p>
          <w:p w:rsidR="004132A7" w:rsidRDefault="004132A7" w:rsidP="006E760B">
            <w:pPr>
              <w:rPr>
                <w:rFonts w:cs="Calibri"/>
              </w:rPr>
            </w:pPr>
            <w:r>
              <w:rPr>
                <w:rFonts w:cs="Calibri"/>
              </w:rPr>
              <w:t>Thurs - Economic Summit All day</w:t>
            </w:r>
          </w:p>
          <w:p w:rsidR="004132A7" w:rsidRDefault="004132A7" w:rsidP="006E760B">
            <w:pPr>
              <w:rPr>
                <w:rFonts w:cs="Calibri"/>
              </w:rPr>
            </w:pPr>
            <w:r>
              <w:rPr>
                <w:rFonts w:cs="Calibri"/>
              </w:rPr>
              <w:t xml:space="preserve">Fri - 8:15 am // PMI data. </w:t>
            </w:r>
          </w:p>
          <w:p w:rsidR="004132A7" w:rsidRDefault="004132A7" w:rsidP="006E760B">
            <w:pPr>
              <w:rPr>
                <w:rFonts w:cs="Calibri"/>
              </w:rPr>
            </w:pPr>
            <w:r>
              <w:rPr>
                <w:rFonts w:cs="Calibri"/>
              </w:rPr>
              <w:t>Data has been going down but may be near a bottom.</w:t>
            </w:r>
          </w:p>
          <w:p w:rsidR="004132A7" w:rsidRDefault="004132A7" w:rsidP="006E760B">
            <w:pPr>
              <w:rPr>
                <w:rFonts w:cs="Calibri"/>
              </w:rPr>
            </w:pPr>
            <w:r>
              <w:rPr>
                <w:rFonts w:cs="Calibri"/>
              </w:rPr>
              <w:t>Favour selling rallies.</w:t>
            </w:r>
          </w:p>
          <w:p w:rsidR="004132A7" w:rsidRDefault="004132A7" w:rsidP="006E760B">
            <w:pPr>
              <w:rPr>
                <w:rFonts w:cs="Calibri"/>
              </w:rPr>
            </w:pPr>
          </w:p>
          <w:p w:rsidR="004132A7" w:rsidRPr="00DE43B8" w:rsidRDefault="004132A7" w:rsidP="00424DDD">
            <w:pPr>
              <w:rPr>
                <w:rFonts w:cs="Calibri"/>
              </w:rPr>
            </w:pPr>
          </w:p>
        </w:tc>
      </w:tr>
      <w:tr w:rsidR="004132A7" w:rsidRPr="00DE43B8" w:rsidTr="0068279B">
        <w:tc>
          <w:tcPr>
            <w:tcW w:w="9631" w:type="dxa"/>
            <w:shd w:val="clear" w:color="auto" w:fill="9CC2E5"/>
          </w:tcPr>
          <w:p w:rsidR="004132A7" w:rsidRPr="00DE43B8" w:rsidRDefault="004132A7" w:rsidP="001E30C2">
            <w:pPr>
              <w:rPr>
                <w:rFonts w:cs="Calibri"/>
              </w:rPr>
            </w:pPr>
            <w:r w:rsidRPr="00DE43B8">
              <w:rPr>
                <w:rFonts w:cs="Calibri"/>
                <w:b/>
              </w:rPr>
              <w:t>JPY – Rate -0.1</w:t>
            </w:r>
          </w:p>
        </w:tc>
      </w:tr>
      <w:tr w:rsidR="004132A7" w:rsidRPr="00DE43B8" w:rsidTr="0068279B">
        <w:tc>
          <w:tcPr>
            <w:tcW w:w="9631" w:type="dxa"/>
          </w:tcPr>
          <w:p w:rsidR="004132A7" w:rsidRPr="00DE43B8" w:rsidRDefault="004132A7" w:rsidP="001E30C2">
            <w:pPr>
              <w:rPr>
                <w:rFonts w:cs="Calibri"/>
              </w:rPr>
            </w:pPr>
            <w:r w:rsidRPr="00DE43B8">
              <w:rPr>
                <w:rFonts w:cs="Calibri"/>
              </w:rPr>
              <w:t>BOJ will consider extra easing if needed.</w:t>
            </w:r>
          </w:p>
          <w:p w:rsidR="004132A7" w:rsidRPr="00DE43B8" w:rsidRDefault="004132A7" w:rsidP="001E30C2">
            <w:pPr>
              <w:rPr>
                <w:rFonts w:cs="Calibri"/>
              </w:rPr>
            </w:pPr>
            <w:r w:rsidRPr="00DE43B8">
              <w:rPr>
                <w:rFonts w:cs="Calibri"/>
              </w:rPr>
              <w:t>If Fx causes JPY to move BOJ may intervene.</w:t>
            </w:r>
          </w:p>
          <w:p w:rsidR="004132A7" w:rsidRPr="00DE43B8" w:rsidRDefault="004132A7" w:rsidP="001E30C2">
            <w:pPr>
              <w:rPr>
                <w:rFonts w:cs="Calibri"/>
              </w:rPr>
            </w:pPr>
            <w:r w:rsidRPr="00DE43B8">
              <w:rPr>
                <w:rFonts w:cs="Calibri"/>
              </w:rPr>
              <w:t xml:space="preserve">Short UJ or no trade (high swaps) </w:t>
            </w:r>
          </w:p>
          <w:p w:rsidR="004132A7" w:rsidRPr="00DE43B8" w:rsidRDefault="004132A7" w:rsidP="001E30C2">
            <w:pPr>
              <w:rPr>
                <w:rFonts w:cs="Calibri"/>
              </w:rPr>
            </w:pPr>
          </w:p>
          <w:p w:rsidR="004132A7" w:rsidRPr="00DE43B8" w:rsidRDefault="004132A7" w:rsidP="001E30C2">
            <w:pPr>
              <w:rPr>
                <w:rFonts w:cs="Calibri"/>
              </w:rPr>
            </w:pPr>
            <w:r w:rsidRPr="00DE43B8">
              <w:rPr>
                <w:rFonts w:cs="Calibri"/>
              </w:rPr>
              <w:t>Buy UJ/AJ/NJ/CJ for positive swap.</w:t>
            </w:r>
          </w:p>
          <w:p w:rsidR="004132A7" w:rsidRPr="00DE43B8" w:rsidRDefault="004132A7" w:rsidP="001E30C2">
            <w:pPr>
              <w:rPr>
                <w:rFonts w:cs="Calibri"/>
              </w:rPr>
            </w:pPr>
          </w:p>
          <w:p w:rsidR="004132A7" w:rsidRPr="00DE43B8" w:rsidRDefault="004132A7" w:rsidP="001E30C2">
            <w:pPr>
              <w:rPr>
                <w:rFonts w:cs="Calibri"/>
              </w:rPr>
            </w:pPr>
            <w:smartTag w:uri="urn:schemas-microsoft-com:office:smarttags" w:element="country-region">
              <w:r w:rsidRPr="00DE43B8">
                <w:rPr>
                  <w:rFonts w:cs="Calibri"/>
                </w:rPr>
                <w:t>Japan</w:t>
              </w:r>
            </w:smartTag>
            <w:r w:rsidRPr="00DE43B8">
              <w:rPr>
                <w:rFonts w:cs="Calibri"/>
              </w:rPr>
              <w:t>’s machinery orders fell in January at the fastest pace in four months as the U.S.-China tariff war hit global trade.  It was also the fastest month-on-month decline since September last year.</w:t>
            </w:r>
          </w:p>
          <w:p w:rsidR="004132A7" w:rsidRPr="00DE43B8" w:rsidRDefault="004132A7" w:rsidP="001E30C2">
            <w:pPr>
              <w:rPr>
                <w:rFonts w:cs="Calibri"/>
              </w:rPr>
            </w:pPr>
          </w:p>
          <w:p w:rsidR="004132A7" w:rsidRPr="00DE43B8" w:rsidRDefault="004132A7" w:rsidP="001E30C2">
            <w:pPr>
              <w:rPr>
                <w:rFonts w:cs="Calibri"/>
              </w:rPr>
            </w:pPr>
            <w:r w:rsidRPr="00DE43B8">
              <w:rPr>
                <w:rFonts w:cs="Calibri"/>
              </w:rPr>
              <w:t>Bank of Japan faces pressure to prop up growth with some form of stimulus.</w:t>
            </w:r>
          </w:p>
          <w:p w:rsidR="004132A7" w:rsidRPr="00DE43B8" w:rsidRDefault="004132A7" w:rsidP="001E30C2">
            <w:pPr>
              <w:rPr>
                <w:rFonts w:cs="Calibri"/>
              </w:rPr>
            </w:pPr>
            <w:bookmarkStart w:id="0" w:name="_GoBack"/>
            <w:bookmarkEnd w:id="0"/>
          </w:p>
          <w:p w:rsidR="004132A7" w:rsidRPr="00DE43B8" w:rsidRDefault="004132A7" w:rsidP="001E30C2">
            <w:pPr>
              <w:rPr>
                <w:rFonts w:cs="Calibri"/>
              </w:rPr>
            </w:pPr>
            <w:r w:rsidRPr="00DE43B8">
              <w:rPr>
                <w:rFonts w:cs="Calibri"/>
              </w:rPr>
              <w:t xml:space="preserve">Another risk for </w:t>
            </w:r>
            <w:smartTag w:uri="urn:schemas-microsoft-com:office:smarttags" w:element="country-region">
              <w:r w:rsidRPr="00DE43B8">
                <w:rPr>
                  <w:rFonts w:cs="Calibri"/>
                </w:rPr>
                <w:t>Japan</w:t>
              </w:r>
            </w:smartTag>
            <w:r w:rsidRPr="00DE43B8">
              <w:rPr>
                <w:rFonts w:cs="Calibri"/>
              </w:rPr>
              <w:t>’s economy is the government’s plan to raise the nationwide sales tax to 10 percent from 8 percent in October. The government needs the extra revenue for rising welfare costs, but the tax hike could also weaken consumer spending</w:t>
            </w:r>
          </w:p>
          <w:p w:rsidR="004132A7" w:rsidRPr="00DE43B8" w:rsidRDefault="004132A7" w:rsidP="001E30C2">
            <w:pPr>
              <w:rPr>
                <w:rFonts w:cs="Calibri"/>
              </w:rPr>
            </w:pPr>
            <w:r w:rsidRPr="00DE43B8">
              <w:rPr>
                <w:rFonts w:cs="Calibri"/>
              </w:rPr>
              <w:t>Many in the BOJ expect Japan’s economy to emerge from the current soft patch in the second half of this year, when Beijing’s stimulus plans could lift Chinese demand and underpin global growth, </w:t>
            </w:r>
          </w:p>
          <w:p w:rsidR="004132A7" w:rsidRPr="00DE43B8" w:rsidRDefault="004132A7" w:rsidP="001E30C2">
            <w:pPr>
              <w:rPr>
                <w:rFonts w:cs="Calibri"/>
              </w:rPr>
            </w:pPr>
          </w:p>
          <w:p w:rsidR="004132A7" w:rsidRDefault="004132A7" w:rsidP="001E30C2">
            <w:pPr>
              <w:rPr>
                <w:rFonts w:cs="Calibri"/>
              </w:rPr>
            </w:pPr>
          </w:p>
          <w:p w:rsidR="004132A7" w:rsidRDefault="004132A7" w:rsidP="001E30C2">
            <w:pPr>
              <w:rPr>
                <w:rFonts w:cs="Calibri"/>
              </w:rPr>
            </w:pPr>
            <w:r w:rsidRPr="006F318E">
              <w:rPr>
                <w:rFonts w:cs="Calibri"/>
              </w:rPr>
              <w:t>As for the yen, economic data tend to have little effect on the currency, mainly because the BoJ isn’t expected to adjust its massive stimulus program at all going forward. Instead, the Japanese currency may continue to be driven by risk flows, given its safe haven status.</w:t>
            </w:r>
          </w:p>
          <w:p w:rsidR="004132A7" w:rsidRDefault="004132A7" w:rsidP="001E30C2">
            <w:pPr>
              <w:rPr>
                <w:rFonts w:cs="Calibri"/>
              </w:rPr>
            </w:pPr>
          </w:p>
          <w:p w:rsidR="004132A7" w:rsidRDefault="004132A7" w:rsidP="001E30C2">
            <w:pPr>
              <w:rPr>
                <w:rFonts w:cs="Calibri"/>
              </w:rPr>
            </w:pPr>
          </w:p>
          <w:p w:rsidR="004132A7" w:rsidRPr="00DE43B8" w:rsidRDefault="004132A7" w:rsidP="001E30C2">
            <w:pPr>
              <w:rPr>
                <w:rFonts w:cs="Calibri"/>
              </w:rPr>
            </w:pPr>
          </w:p>
        </w:tc>
      </w:tr>
      <w:tr w:rsidR="004132A7" w:rsidRPr="00DE43B8" w:rsidTr="0068279B">
        <w:tc>
          <w:tcPr>
            <w:tcW w:w="9631" w:type="dxa"/>
            <w:shd w:val="clear" w:color="auto" w:fill="FF9900"/>
          </w:tcPr>
          <w:p w:rsidR="004132A7" w:rsidRPr="00DE43B8" w:rsidRDefault="004132A7" w:rsidP="002B7D06">
            <w:pPr>
              <w:rPr>
                <w:rFonts w:cs="Calibri"/>
              </w:rPr>
            </w:pPr>
            <w:r>
              <w:rPr>
                <w:rFonts w:cs="Calibri"/>
                <w:b/>
              </w:rPr>
              <w:t>CHF - Rate -0.75</w:t>
            </w:r>
          </w:p>
        </w:tc>
      </w:tr>
      <w:tr w:rsidR="004132A7" w:rsidRPr="00DE43B8" w:rsidTr="0068279B">
        <w:tc>
          <w:tcPr>
            <w:tcW w:w="9631" w:type="dxa"/>
          </w:tcPr>
          <w:p w:rsidR="004132A7" w:rsidRDefault="004132A7" w:rsidP="002B7D06">
            <w:pPr>
              <w:rPr>
                <w:rFonts w:cs="Calibri"/>
              </w:rPr>
            </w:pPr>
          </w:p>
          <w:p w:rsidR="004132A7" w:rsidRPr="00EB0644" w:rsidRDefault="004132A7" w:rsidP="002B7D06">
            <w:pPr>
              <w:rPr>
                <w:rFonts w:cs="Calibri"/>
              </w:rPr>
            </w:pPr>
            <w:r w:rsidRPr="00EB0644">
              <w:rPr>
                <w:rFonts w:cs="Calibri"/>
              </w:rPr>
              <w:t xml:space="preserve">The Swiss National Bank (SNB) will announce its quarterly decision on Thursday. </w:t>
            </w:r>
          </w:p>
          <w:p w:rsidR="004132A7" w:rsidRDefault="004132A7" w:rsidP="002B7D06">
            <w:pPr>
              <w:rPr>
                <w:rFonts w:cs="Calibri"/>
              </w:rPr>
            </w:pPr>
            <w:r w:rsidRPr="00EB0644">
              <w:rPr>
                <w:rFonts w:cs="Calibri"/>
              </w:rPr>
              <w:t xml:space="preserve">Swiss economic data remain soft, with inflation barely picking up and growth struggling. Meanwhile, </w:t>
            </w:r>
            <w:smartTag w:uri="urn:schemas-microsoft-com:office:smarttags" w:element="country-region">
              <w:r w:rsidRPr="00EB0644">
                <w:rPr>
                  <w:rFonts w:cs="Calibri"/>
                </w:rPr>
                <w:t>Switzerland</w:t>
              </w:r>
            </w:smartTag>
            <w:r w:rsidRPr="00EB0644">
              <w:rPr>
                <w:rFonts w:cs="Calibri"/>
              </w:rPr>
              <w:t>’s main export market – the Eurozone – is losing steam</w:t>
            </w:r>
          </w:p>
          <w:p w:rsidR="004132A7" w:rsidRDefault="004132A7" w:rsidP="002B7D06">
            <w:pPr>
              <w:rPr>
                <w:rFonts w:cs="Calibri"/>
              </w:rPr>
            </w:pPr>
          </w:p>
          <w:p w:rsidR="004132A7" w:rsidRDefault="004132A7" w:rsidP="002B7D06">
            <w:pPr>
              <w:rPr>
                <w:rFonts w:cs="Calibri"/>
              </w:rPr>
            </w:pPr>
            <w:r>
              <w:rPr>
                <w:rFonts w:cs="Calibri"/>
              </w:rPr>
              <w:t>SNB unlikely to change tune.</w:t>
            </w:r>
          </w:p>
          <w:p w:rsidR="004132A7" w:rsidRDefault="004132A7" w:rsidP="002B7D06">
            <w:pPr>
              <w:rPr>
                <w:rFonts w:cs="Calibri"/>
              </w:rPr>
            </w:pPr>
          </w:p>
          <w:p w:rsidR="004132A7" w:rsidRDefault="004132A7" w:rsidP="00576E62">
            <w:pPr>
              <w:rPr>
                <w:rFonts w:cs="Calibri"/>
                <w:b/>
                <w:u w:val="single"/>
              </w:rPr>
            </w:pPr>
            <w:r w:rsidRPr="007762D6">
              <w:rPr>
                <w:rFonts w:cs="Calibri"/>
                <w:b/>
                <w:highlight w:val="cyan"/>
                <w:u w:val="single"/>
              </w:rPr>
              <w:t>WEEK12</w:t>
            </w:r>
          </w:p>
          <w:p w:rsidR="004132A7" w:rsidRPr="00576E62" w:rsidRDefault="004132A7" w:rsidP="00576E62">
            <w:pPr>
              <w:rPr>
                <w:rFonts w:cs="Calibri"/>
              </w:rPr>
            </w:pPr>
            <w:r w:rsidRPr="00576E62">
              <w:rPr>
                <w:rFonts w:cs="Calibri"/>
              </w:rPr>
              <w:t>THURS 8:30 AM</w:t>
            </w:r>
            <w:r>
              <w:rPr>
                <w:rFonts w:cs="Calibri"/>
              </w:rPr>
              <w:t xml:space="preserve"> -  Interest Rate Decision</w:t>
            </w:r>
          </w:p>
          <w:p w:rsidR="004132A7" w:rsidRDefault="004132A7" w:rsidP="002B7D06">
            <w:pPr>
              <w:rPr>
                <w:rFonts w:cs="Calibri"/>
              </w:rPr>
            </w:pPr>
            <w:r w:rsidRPr="00960789">
              <w:rPr>
                <w:rFonts w:cs="Calibri"/>
              </w:rPr>
              <w:t>SNB: Staying as dovish as possible, preventing franc strength</w:t>
            </w:r>
          </w:p>
          <w:p w:rsidR="004132A7" w:rsidRDefault="004132A7" w:rsidP="002B7D06">
            <w:pPr>
              <w:rPr>
                <w:rFonts w:cs="Calibri"/>
              </w:rPr>
            </w:pPr>
            <w:r w:rsidRPr="00EB0644">
              <w:rPr>
                <w:rFonts w:cs="Calibri"/>
              </w:rPr>
              <w:t>Hence, the SNB will probably maintain an ultra-cautious tone, reiterating that negative interest rates are needed and that it will continue to intervene in the FX market</w:t>
            </w:r>
            <w:r>
              <w:rPr>
                <w:rFonts w:cs="Calibri"/>
              </w:rPr>
              <w:t xml:space="preserve"> if needed to weaken the franc.</w:t>
            </w:r>
          </w:p>
          <w:p w:rsidR="004132A7" w:rsidRDefault="004132A7" w:rsidP="002B7D06">
            <w:pPr>
              <w:rPr>
                <w:rFonts w:cs="Calibri"/>
              </w:rPr>
            </w:pPr>
          </w:p>
          <w:p w:rsidR="004132A7" w:rsidRDefault="004132A7" w:rsidP="002B7D06">
            <w:pPr>
              <w:rPr>
                <w:rFonts w:cs="Calibri"/>
              </w:rPr>
            </w:pPr>
            <w:r>
              <w:rPr>
                <w:rFonts w:cs="Calibri"/>
              </w:rPr>
              <w:t>Anything else could cause a rally in CHF particularly against Eur</w:t>
            </w:r>
          </w:p>
          <w:p w:rsidR="004132A7" w:rsidRDefault="004132A7" w:rsidP="002B7D06">
            <w:pPr>
              <w:rPr>
                <w:rFonts w:cs="Calibri"/>
              </w:rPr>
            </w:pPr>
          </w:p>
          <w:p w:rsidR="004132A7" w:rsidRPr="00DE43B8" w:rsidRDefault="004132A7" w:rsidP="002B7D06">
            <w:pPr>
              <w:rPr>
                <w:rFonts w:cs="Calibri"/>
              </w:rPr>
            </w:pPr>
          </w:p>
        </w:tc>
      </w:tr>
      <w:tr w:rsidR="004132A7" w:rsidRPr="00DE43B8" w:rsidTr="0068279B">
        <w:tc>
          <w:tcPr>
            <w:tcW w:w="9631" w:type="dxa"/>
            <w:shd w:val="clear" w:color="auto" w:fill="F49EDD"/>
          </w:tcPr>
          <w:p w:rsidR="004132A7" w:rsidRPr="00DE43B8" w:rsidRDefault="004132A7" w:rsidP="006E760B">
            <w:pPr>
              <w:rPr>
                <w:rFonts w:cs="Calibri"/>
                <w:b/>
              </w:rPr>
            </w:pPr>
            <w:r w:rsidRPr="00DE43B8">
              <w:rPr>
                <w:rFonts w:cs="Calibri"/>
                <w:b/>
              </w:rPr>
              <w:t>CNH</w:t>
            </w:r>
          </w:p>
        </w:tc>
      </w:tr>
      <w:tr w:rsidR="004132A7" w:rsidRPr="00DE43B8" w:rsidTr="0068279B">
        <w:tc>
          <w:tcPr>
            <w:tcW w:w="9631" w:type="dxa"/>
          </w:tcPr>
          <w:p w:rsidR="004132A7" w:rsidRPr="00DE43B8" w:rsidRDefault="004132A7" w:rsidP="006E760B">
            <w:pPr>
              <w:rPr>
                <w:rFonts w:cs="Calibri"/>
              </w:rPr>
            </w:pPr>
            <w:smartTag w:uri="urn:schemas-microsoft-com:office:smarttags" w:element="country-region">
              <w:r w:rsidRPr="00DE43B8">
                <w:rPr>
                  <w:rFonts w:cs="Calibri"/>
                </w:rPr>
                <w:t>China</w:t>
              </w:r>
            </w:smartTag>
            <w:r w:rsidRPr="00DE43B8">
              <w:rPr>
                <w:rFonts w:cs="Calibri"/>
              </w:rPr>
              <w:t xml:space="preserve"> manufacturing activity contracted for a third straight month in February, suggesting a sustained deterioration in the economy, despite government efforts at stimulus</w:t>
            </w:r>
          </w:p>
          <w:p w:rsidR="004132A7" w:rsidRPr="00DE43B8" w:rsidRDefault="004132A7" w:rsidP="006E760B">
            <w:pPr>
              <w:rPr>
                <w:rFonts w:cs="Calibri"/>
              </w:rPr>
            </w:pPr>
          </w:p>
          <w:p w:rsidR="004132A7" w:rsidRPr="00DE43B8" w:rsidRDefault="004132A7" w:rsidP="006E760B">
            <w:pPr>
              <w:rPr>
                <w:rFonts w:cs="Calibri"/>
              </w:rPr>
            </w:pPr>
            <w:r w:rsidRPr="00DE43B8">
              <w:rPr>
                <w:rFonts w:cs="Calibri"/>
              </w:rPr>
              <w:t xml:space="preserve">In </w:t>
            </w:r>
            <w:smartTag w:uri="urn:schemas-microsoft-com:office:smarttags" w:element="country-region">
              <w:r w:rsidRPr="00DE43B8">
                <w:rPr>
                  <w:rFonts w:cs="Calibri"/>
                </w:rPr>
                <w:t>China</w:t>
              </w:r>
            </w:smartTag>
            <w:r w:rsidRPr="00DE43B8">
              <w:rPr>
                <w:rFonts w:cs="Calibri"/>
              </w:rPr>
              <w:t>, the authorities have taken further steps to ease financing conditions, partly in response to slower growth in the economy.</w:t>
            </w:r>
          </w:p>
          <w:p w:rsidR="004132A7" w:rsidRPr="00DE43B8" w:rsidRDefault="004132A7" w:rsidP="006E760B">
            <w:pPr>
              <w:rPr>
                <w:rFonts w:cs="Calibri"/>
              </w:rPr>
            </w:pPr>
          </w:p>
          <w:p w:rsidR="004132A7" w:rsidRPr="00DE43B8" w:rsidRDefault="004132A7" w:rsidP="006E760B">
            <w:pPr>
              <w:rPr>
                <w:rFonts w:cs="Calibri"/>
              </w:rPr>
            </w:pPr>
            <w:r w:rsidRPr="00DE43B8">
              <w:rPr>
                <w:rFonts w:cs="Calibri"/>
              </w:rPr>
              <w:t>We expect import growth to remain weak until the announced fiscal stimulus flows through the real economy later 2019.</w:t>
            </w:r>
          </w:p>
          <w:p w:rsidR="004132A7" w:rsidRPr="00DE43B8" w:rsidRDefault="004132A7" w:rsidP="006E760B">
            <w:pPr>
              <w:rPr>
                <w:rFonts w:ascii="Verdana" w:hAnsi="Verdana"/>
                <w:color w:val="000000"/>
                <w:sz w:val="20"/>
                <w:szCs w:val="20"/>
                <w:shd w:val="clear" w:color="auto" w:fill="F4F6F9"/>
              </w:rPr>
            </w:pPr>
          </w:p>
          <w:p w:rsidR="004132A7" w:rsidRPr="00DE43B8" w:rsidRDefault="004132A7" w:rsidP="006E760B">
            <w:pPr>
              <w:rPr>
                <w:rFonts w:cs="Calibri"/>
                <w:b/>
              </w:rPr>
            </w:pPr>
          </w:p>
        </w:tc>
      </w:tr>
      <w:tr w:rsidR="004132A7" w:rsidRPr="00DE43B8" w:rsidTr="0068279B">
        <w:tc>
          <w:tcPr>
            <w:tcW w:w="9631" w:type="dxa"/>
            <w:shd w:val="clear" w:color="auto" w:fill="AEAAAA"/>
          </w:tcPr>
          <w:p w:rsidR="004132A7" w:rsidRPr="00DE43B8" w:rsidRDefault="004132A7" w:rsidP="004E603E">
            <w:pPr>
              <w:rPr>
                <w:rFonts w:cs="Calibri"/>
                <w:b/>
              </w:rPr>
            </w:pPr>
            <w:r w:rsidRPr="00DE43B8">
              <w:rPr>
                <w:rFonts w:cs="Calibri"/>
                <w:b/>
              </w:rPr>
              <w:t>OIL</w:t>
            </w:r>
          </w:p>
        </w:tc>
      </w:tr>
      <w:tr w:rsidR="004132A7" w:rsidRPr="00DE43B8" w:rsidTr="0068279B">
        <w:tc>
          <w:tcPr>
            <w:tcW w:w="9631" w:type="dxa"/>
          </w:tcPr>
          <w:p w:rsidR="004132A7" w:rsidRPr="00DE43B8" w:rsidRDefault="004132A7" w:rsidP="004E603E">
            <w:pPr>
              <w:rPr>
                <w:rFonts w:cs="Calibri"/>
              </w:rPr>
            </w:pPr>
          </w:p>
          <w:p w:rsidR="004132A7" w:rsidRPr="00DE43B8" w:rsidRDefault="004132A7" w:rsidP="00B54A2D">
            <w:pPr>
              <w:rPr>
                <w:rFonts w:cs="Calibri"/>
              </w:rPr>
            </w:pPr>
            <w:r w:rsidRPr="00DE43B8">
              <w:rPr>
                <w:rFonts w:cs="Calibri"/>
              </w:rPr>
              <w:t>Crude stocks may drop slowly / Still hovering at the same level as the past 16 weeks</w:t>
            </w:r>
          </w:p>
          <w:p w:rsidR="004132A7" w:rsidRPr="00DE43B8" w:rsidRDefault="004132A7" w:rsidP="004E603E">
            <w:pPr>
              <w:rPr>
                <w:rFonts w:cs="Calibri"/>
              </w:rPr>
            </w:pPr>
            <w:r w:rsidRPr="00DE43B8">
              <w:rPr>
                <w:rFonts w:cs="Calibri"/>
              </w:rPr>
              <w:t>Analysts expect the Permian production could double from the current levels through 2023 to 8 mbpd. Now at 4 mbd.</w:t>
            </w:r>
          </w:p>
          <w:p w:rsidR="004132A7" w:rsidRPr="00DE43B8" w:rsidRDefault="004132A7" w:rsidP="004E603E">
            <w:pPr>
              <w:rPr>
                <w:rFonts w:cs="Calibri"/>
              </w:rPr>
            </w:pPr>
            <w:r w:rsidRPr="00DE43B8">
              <w:rPr>
                <w:rFonts w:cs="Calibri"/>
              </w:rPr>
              <w:t>Permian oil production— currently just shy of 4 million bpd—jumped by around 1 million bpd from a year ago and is set to jump by another 1 million bpd, to 5 million bpd, by early 2020, Eric Lee, energy analyst at Citigroup, told CNBC.</w:t>
            </w:r>
          </w:p>
          <w:p w:rsidR="004132A7" w:rsidRPr="00DE43B8" w:rsidRDefault="004132A7" w:rsidP="004E603E">
            <w:pPr>
              <w:rPr>
                <w:rFonts w:cs="Calibri"/>
              </w:rPr>
            </w:pPr>
            <w:r w:rsidRPr="00DE43B8">
              <w:rPr>
                <w:rFonts w:cs="Calibri"/>
              </w:rPr>
              <w:t>Several new crude oil pipelines expected to come on line at the end of this year and in 2020 and 2021 are set to alleviate bottlenecks and reduce the price discounts of the oil in the Permian to the oil priced at Cushing or the U.S. Gulf Coast.</w:t>
            </w:r>
          </w:p>
          <w:p w:rsidR="004132A7" w:rsidRPr="00DE43B8" w:rsidRDefault="004132A7" w:rsidP="00B54A2D">
            <w:pPr>
              <w:rPr>
                <w:rFonts w:cs="Calibri"/>
              </w:rPr>
            </w:pPr>
            <w:r w:rsidRPr="00DE43B8">
              <w:rPr>
                <w:rFonts w:cs="Calibri"/>
              </w:rPr>
              <w:t xml:space="preserve">As pipeline constraints start to clear in the second half of 2019, </w:t>
            </w:r>
            <w:smartTag w:uri="urn:schemas-microsoft-com:office:smarttags" w:element="country-region">
              <w:r w:rsidRPr="00DE43B8">
                <w:rPr>
                  <w:rFonts w:cs="Calibri"/>
                </w:rPr>
                <w:t>U.S.</w:t>
              </w:r>
            </w:smartTag>
            <w:r w:rsidRPr="00DE43B8">
              <w:rPr>
                <w:rFonts w:cs="Calibri"/>
              </w:rPr>
              <w:t xml:space="preserve"> exports will also rise, John Driscoll, chief strategist at JTD Energy Services, told </w:t>
            </w:r>
            <w:hyperlink r:id="rId5" w:history="1">
              <w:r w:rsidRPr="00DE43B8">
                <w:rPr>
                  <w:rFonts w:cs="Calibri"/>
                </w:rPr>
                <w:t>CNBC</w:t>
              </w:r>
            </w:hyperlink>
            <w:r w:rsidRPr="00DE43B8">
              <w:rPr>
                <w:rFonts w:cs="Calibri"/>
              </w:rPr>
              <w:t> at the end of February.</w:t>
            </w:r>
          </w:p>
          <w:p w:rsidR="004132A7" w:rsidRPr="00DE43B8" w:rsidRDefault="004132A7" w:rsidP="00B54A2D">
            <w:pPr>
              <w:rPr>
                <w:rFonts w:cs="Calibri"/>
              </w:rPr>
            </w:pPr>
            <w:r w:rsidRPr="00DE43B8">
              <w:rPr>
                <w:rFonts w:cs="Calibri"/>
              </w:rPr>
              <w:t>“The U.S. is spoiling the OPEC party. They are now the wild card and they don’t have a seat at the table in Vienna,” Driscoll said.</w:t>
            </w:r>
          </w:p>
          <w:p w:rsidR="004132A7" w:rsidRPr="00DE43B8" w:rsidRDefault="004132A7" w:rsidP="004E603E">
            <w:pPr>
              <w:rPr>
                <w:rFonts w:cs="Calibri"/>
              </w:rPr>
            </w:pPr>
          </w:p>
          <w:p w:rsidR="004132A7" w:rsidRPr="00DE43B8" w:rsidRDefault="004132A7" w:rsidP="004E603E">
            <w:pPr>
              <w:rPr>
                <w:rFonts w:cs="Calibri"/>
              </w:rPr>
            </w:pPr>
            <w:r w:rsidRPr="00DE43B8">
              <w:rPr>
                <w:rFonts w:cs="Calibri"/>
              </w:rPr>
              <w:t>Saudi Arabia’s crude oil exports to the U.S. are falling sharply, with shipments standing at just 1.6 million barrels near the end of February, according to U.S. customs data compiled by </w:t>
            </w:r>
            <w:hyperlink r:id="rId6" w:history="1">
              <w:r w:rsidRPr="00DE43B8">
                <w:rPr>
                  <w:rFonts w:cs="Calibri"/>
                </w:rPr>
                <w:t>Bloomberg</w:t>
              </w:r>
            </w:hyperlink>
            <w:r w:rsidRPr="00DE43B8">
              <w:rPr>
                <w:rFonts w:cs="Calibri"/>
              </w:rPr>
              <w:t>, versus 5.75 million barrels a year ago.</w:t>
            </w:r>
          </w:p>
          <w:p w:rsidR="004132A7" w:rsidRPr="00DE43B8" w:rsidRDefault="004132A7" w:rsidP="004E603E">
            <w:pPr>
              <w:rPr>
                <w:rFonts w:cs="Calibri"/>
              </w:rPr>
            </w:pPr>
            <w:r w:rsidRPr="0026688F">
              <w:rPr>
                <w:rFonts w:cs="Calibri"/>
              </w:rPr>
              <w:t>Third, the implementation of the IMO 2020 marine fuel sulfur regulation next January is a serious external event that will affect crude prices significantly. I suggest the rule will have a noticeable price effect</w:t>
            </w:r>
          </w:p>
          <w:p w:rsidR="004132A7" w:rsidRDefault="004132A7" w:rsidP="004E603E">
            <w:pPr>
              <w:rPr>
                <w:rFonts w:ascii="Verdana" w:hAnsi="Verdana"/>
                <w:color w:val="000000"/>
                <w:sz w:val="20"/>
                <w:szCs w:val="20"/>
                <w:shd w:val="clear" w:color="auto" w:fill="F4F6F9"/>
              </w:rPr>
            </w:pPr>
          </w:p>
          <w:p w:rsidR="004132A7" w:rsidRDefault="004132A7" w:rsidP="005776E4">
            <w:pPr>
              <w:rPr>
                <w:rFonts w:cs="Calibri"/>
                <w:b/>
                <w:u w:val="single"/>
              </w:rPr>
            </w:pPr>
            <w:r w:rsidRPr="00844D8A">
              <w:rPr>
                <w:rFonts w:cs="Calibri"/>
                <w:b/>
                <w:highlight w:val="cyan"/>
                <w:u w:val="single"/>
              </w:rPr>
              <w:t>WEEK12</w:t>
            </w:r>
          </w:p>
          <w:p w:rsidR="004132A7" w:rsidRPr="00813A4F" w:rsidRDefault="004132A7" w:rsidP="004E603E">
            <w:pPr>
              <w:rPr>
                <w:rFonts w:cs="Calibri"/>
              </w:rPr>
            </w:pPr>
            <w:r w:rsidRPr="00813A4F">
              <w:rPr>
                <w:rFonts w:cs="Calibri"/>
              </w:rPr>
              <w:t>Look to Tuesday 8:30pm API Crude stocks</w:t>
            </w:r>
          </w:p>
          <w:p w:rsidR="004132A7" w:rsidRPr="00813A4F" w:rsidRDefault="004132A7" w:rsidP="004E603E">
            <w:pPr>
              <w:rPr>
                <w:rFonts w:cs="Calibri"/>
              </w:rPr>
            </w:pPr>
            <w:r w:rsidRPr="00813A4F">
              <w:rPr>
                <w:rFonts w:cs="Calibri"/>
              </w:rPr>
              <w:t xml:space="preserve">Wed 2:30  EIA Crude stocks: </w:t>
            </w:r>
          </w:p>
          <w:p w:rsidR="004132A7" w:rsidRPr="00813A4F" w:rsidRDefault="004132A7" w:rsidP="004E603E">
            <w:pPr>
              <w:rPr>
                <w:rFonts w:cs="Calibri"/>
              </w:rPr>
            </w:pPr>
          </w:p>
          <w:p w:rsidR="004132A7" w:rsidRPr="00813A4F" w:rsidRDefault="004132A7" w:rsidP="004E603E">
            <w:pPr>
              <w:rPr>
                <w:rFonts w:cs="Calibri"/>
              </w:rPr>
            </w:pPr>
            <w:r w:rsidRPr="00813A4F">
              <w:rPr>
                <w:rFonts w:cs="Calibri"/>
              </w:rPr>
              <w:t>Look for an inventory built to short.</w:t>
            </w:r>
          </w:p>
          <w:p w:rsidR="004132A7" w:rsidRPr="00DE43B8" w:rsidRDefault="004132A7" w:rsidP="004E603E">
            <w:pPr>
              <w:rPr>
                <w:rFonts w:cs="Calibri"/>
                <w:b/>
              </w:rPr>
            </w:pPr>
          </w:p>
        </w:tc>
      </w:tr>
    </w:tbl>
    <w:p w:rsidR="004132A7" w:rsidRDefault="004132A7" w:rsidP="00403ACB"/>
    <w:p w:rsidR="004132A7" w:rsidRDefault="004132A7" w:rsidP="00403ACB"/>
    <w:sectPr w:rsidR="004132A7" w:rsidSect="00F3110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A6D2C"/>
    <w:multiLevelType w:val="hybridMultilevel"/>
    <w:tmpl w:val="30188912"/>
    <w:lvl w:ilvl="0" w:tplc="1809000F">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1">
    <w:nsid w:val="587539AF"/>
    <w:multiLevelType w:val="hybridMultilevel"/>
    <w:tmpl w:val="726CFEE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72237FA9"/>
    <w:multiLevelType w:val="hybridMultilevel"/>
    <w:tmpl w:val="77F0C93C"/>
    <w:lvl w:ilvl="0" w:tplc="1809000F">
      <w:start w:val="1"/>
      <w:numFmt w:val="decimal"/>
      <w:lvlText w:val="%1."/>
      <w:lvlJc w:val="left"/>
      <w:pPr>
        <w:ind w:left="720" w:hanging="360"/>
      </w:pPr>
      <w:rPr>
        <w:rFonts w:cs="Times New Roman"/>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20"/>
  <w:doNotDisplayPageBoundaries/>
  <w:displayBackgroundShape/>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4B72"/>
    <w:rsid w:val="000117EB"/>
    <w:rsid w:val="000150D9"/>
    <w:rsid w:val="0001561A"/>
    <w:rsid w:val="0002392E"/>
    <w:rsid w:val="000243F0"/>
    <w:rsid w:val="00034257"/>
    <w:rsid w:val="000646E1"/>
    <w:rsid w:val="00070BCE"/>
    <w:rsid w:val="000716FD"/>
    <w:rsid w:val="00091BCD"/>
    <w:rsid w:val="000B2C88"/>
    <w:rsid w:val="000C3641"/>
    <w:rsid w:val="000C5CB9"/>
    <w:rsid w:val="000E0E0B"/>
    <w:rsid w:val="000E4B36"/>
    <w:rsid w:val="00101161"/>
    <w:rsid w:val="0010434D"/>
    <w:rsid w:val="00106489"/>
    <w:rsid w:val="00106BC5"/>
    <w:rsid w:val="001106FF"/>
    <w:rsid w:val="00114CF5"/>
    <w:rsid w:val="0012774F"/>
    <w:rsid w:val="001331C7"/>
    <w:rsid w:val="0015416F"/>
    <w:rsid w:val="00165440"/>
    <w:rsid w:val="001900CB"/>
    <w:rsid w:val="00193CBF"/>
    <w:rsid w:val="00194FD4"/>
    <w:rsid w:val="00196393"/>
    <w:rsid w:val="001A298A"/>
    <w:rsid w:val="001B07CA"/>
    <w:rsid w:val="001B67B8"/>
    <w:rsid w:val="001B682E"/>
    <w:rsid w:val="001C15ED"/>
    <w:rsid w:val="001E30C2"/>
    <w:rsid w:val="001E79B0"/>
    <w:rsid w:val="00241032"/>
    <w:rsid w:val="00253060"/>
    <w:rsid w:val="00256C7A"/>
    <w:rsid w:val="0025746F"/>
    <w:rsid w:val="00263E3E"/>
    <w:rsid w:val="0026688F"/>
    <w:rsid w:val="0028058E"/>
    <w:rsid w:val="00287BE5"/>
    <w:rsid w:val="00291247"/>
    <w:rsid w:val="00296BD5"/>
    <w:rsid w:val="002A21A2"/>
    <w:rsid w:val="002B7D06"/>
    <w:rsid w:val="002D1783"/>
    <w:rsid w:val="002E00D0"/>
    <w:rsid w:val="002F1262"/>
    <w:rsid w:val="0030023F"/>
    <w:rsid w:val="00307E11"/>
    <w:rsid w:val="003110DA"/>
    <w:rsid w:val="00333FE9"/>
    <w:rsid w:val="00334E29"/>
    <w:rsid w:val="003412FD"/>
    <w:rsid w:val="0034620C"/>
    <w:rsid w:val="00347113"/>
    <w:rsid w:val="003521B0"/>
    <w:rsid w:val="003832ED"/>
    <w:rsid w:val="00390FB8"/>
    <w:rsid w:val="003B7085"/>
    <w:rsid w:val="003C09D4"/>
    <w:rsid w:val="003C5CBE"/>
    <w:rsid w:val="003D33C0"/>
    <w:rsid w:val="003D51D0"/>
    <w:rsid w:val="003D6AD3"/>
    <w:rsid w:val="003F4886"/>
    <w:rsid w:val="00403ACB"/>
    <w:rsid w:val="00407D0F"/>
    <w:rsid w:val="004132A7"/>
    <w:rsid w:val="004218E7"/>
    <w:rsid w:val="00424DDD"/>
    <w:rsid w:val="00426423"/>
    <w:rsid w:val="00440709"/>
    <w:rsid w:val="00477FC2"/>
    <w:rsid w:val="004844A1"/>
    <w:rsid w:val="00490FE1"/>
    <w:rsid w:val="00491452"/>
    <w:rsid w:val="004938C2"/>
    <w:rsid w:val="00496FDC"/>
    <w:rsid w:val="004B043D"/>
    <w:rsid w:val="004B2A5E"/>
    <w:rsid w:val="004B3409"/>
    <w:rsid w:val="004C00F5"/>
    <w:rsid w:val="004D0290"/>
    <w:rsid w:val="004D2B35"/>
    <w:rsid w:val="004E2EA1"/>
    <w:rsid w:val="004E603E"/>
    <w:rsid w:val="004E747D"/>
    <w:rsid w:val="004F6331"/>
    <w:rsid w:val="004F738A"/>
    <w:rsid w:val="004F7AB3"/>
    <w:rsid w:val="0050673D"/>
    <w:rsid w:val="00507764"/>
    <w:rsid w:val="005114BB"/>
    <w:rsid w:val="00514F8A"/>
    <w:rsid w:val="00553B02"/>
    <w:rsid w:val="0055787F"/>
    <w:rsid w:val="00560123"/>
    <w:rsid w:val="005622CE"/>
    <w:rsid w:val="005703E2"/>
    <w:rsid w:val="005725D6"/>
    <w:rsid w:val="005736F7"/>
    <w:rsid w:val="00574621"/>
    <w:rsid w:val="00576E62"/>
    <w:rsid w:val="005776E4"/>
    <w:rsid w:val="005806EC"/>
    <w:rsid w:val="00583D74"/>
    <w:rsid w:val="00586CE1"/>
    <w:rsid w:val="005B1B52"/>
    <w:rsid w:val="005B4CDE"/>
    <w:rsid w:val="005B5D0E"/>
    <w:rsid w:val="005C2508"/>
    <w:rsid w:val="005D4926"/>
    <w:rsid w:val="005E0380"/>
    <w:rsid w:val="005E5859"/>
    <w:rsid w:val="005F1273"/>
    <w:rsid w:val="005F13DD"/>
    <w:rsid w:val="005F246D"/>
    <w:rsid w:val="005F7819"/>
    <w:rsid w:val="00604977"/>
    <w:rsid w:val="006050FA"/>
    <w:rsid w:val="006070AD"/>
    <w:rsid w:val="00607A86"/>
    <w:rsid w:val="006157D4"/>
    <w:rsid w:val="00616E96"/>
    <w:rsid w:val="006375FD"/>
    <w:rsid w:val="00640BC3"/>
    <w:rsid w:val="00643DA1"/>
    <w:rsid w:val="00656A06"/>
    <w:rsid w:val="00661B71"/>
    <w:rsid w:val="00680524"/>
    <w:rsid w:val="00680A19"/>
    <w:rsid w:val="0068279B"/>
    <w:rsid w:val="006903EE"/>
    <w:rsid w:val="006A0A2F"/>
    <w:rsid w:val="006B74F3"/>
    <w:rsid w:val="006E1E6A"/>
    <w:rsid w:val="006E760B"/>
    <w:rsid w:val="006F318E"/>
    <w:rsid w:val="007122B5"/>
    <w:rsid w:val="00722E38"/>
    <w:rsid w:val="007268B0"/>
    <w:rsid w:val="007268EB"/>
    <w:rsid w:val="00726CE6"/>
    <w:rsid w:val="007329A8"/>
    <w:rsid w:val="00734355"/>
    <w:rsid w:val="00740E0C"/>
    <w:rsid w:val="0076391F"/>
    <w:rsid w:val="00767A3A"/>
    <w:rsid w:val="007762D6"/>
    <w:rsid w:val="0079195D"/>
    <w:rsid w:val="007B0FEB"/>
    <w:rsid w:val="007B1103"/>
    <w:rsid w:val="007C6E29"/>
    <w:rsid w:val="007D14BC"/>
    <w:rsid w:val="007D6E87"/>
    <w:rsid w:val="007E0147"/>
    <w:rsid w:val="007E19BB"/>
    <w:rsid w:val="007F29BE"/>
    <w:rsid w:val="00813A4F"/>
    <w:rsid w:val="008164F8"/>
    <w:rsid w:val="00826100"/>
    <w:rsid w:val="00827A0D"/>
    <w:rsid w:val="00831690"/>
    <w:rsid w:val="00844D8A"/>
    <w:rsid w:val="00847A75"/>
    <w:rsid w:val="00850B8F"/>
    <w:rsid w:val="00852883"/>
    <w:rsid w:val="0086636C"/>
    <w:rsid w:val="00882F9A"/>
    <w:rsid w:val="008A2400"/>
    <w:rsid w:val="008A5E99"/>
    <w:rsid w:val="008C14EE"/>
    <w:rsid w:val="008D2F5E"/>
    <w:rsid w:val="008D6AA1"/>
    <w:rsid w:val="008E290B"/>
    <w:rsid w:val="008E3911"/>
    <w:rsid w:val="008F10C0"/>
    <w:rsid w:val="008F2C43"/>
    <w:rsid w:val="00903D28"/>
    <w:rsid w:val="009051E0"/>
    <w:rsid w:val="00907AAA"/>
    <w:rsid w:val="0091385F"/>
    <w:rsid w:val="009178E4"/>
    <w:rsid w:val="00924EF2"/>
    <w:rsid w:val="009252CC"/>
    <w:rsid w:val="009417E0"/>
    <w:rsid w:val="00950C5E"/>
    <w:rsid w:val="0095216B"/>
    <w:rsid w:val="00952CF5"/>
    <w:rsid w:val="00960789"/>
    <w:rsid w:val="00985794"/>
    <w:rsid w:val="009A475A"/>
    <w:rsid w:val="009A4B72"/>
    <w:rsid w:val="009B353B"/>
    <w:rsid w:val="009D1B6F"/>
    <w:rsid w:val="009D6C51"/>
    <w:rsid w:val="009D7CCA"/>
    <w:rsid w:val="009E1C25"/>
    <w:rsid w:val="009E1C2D"/>
    <w:rsid w:val="009F4A9C"/>
    <w:rsid w:val="00A01EAC"/>
    <w:rsid w:val="00A04195"/>
    <w:rsid w:val="00A059C2"/>
    <w:rsid w:val="00A07C7E"/>
    <w:rsid w:val="00A11BD5"/>
    <w:rsid w:val="00A15259"/>
    <w:rsid w:val="00A2679D"/>
    <w:rsid w:val="00A37228"/>
    <w:rsid w:val="00A41737"/>
    <w:rsid w:val="00A51E82"/>
    <w:rsid w:val="00A54CE9"/>
    <w:rsid w:val="00A62525"/>
    <w:rsid w:val="00A63B0B"/>
    <w:rsid w:val="00A763C3"/>
    <w:rsid w:val="00A81CF4"/>
    <w:rsid w:val="00A834A5"/>
    <w:rsid w:val="00A962E0"/>
    <w:rsid w:val="00A97244"/>
    <w:rsid w:val="00AA13CC"/>
    <w:rsid w:val="00AA60BB"/>
    <w:rsid w:val="00AA7102"/>
    <w:rsid w:val="00AC408D"/>
    <w:rsid w:val="00AD7EFE"/>
    <w:rsid w:val="00AF4E7F"/>
    <w:rsid w:val="00B06554"/>
    <w:rsid w:val="00B21088"/>
    <w:rsid w:val="00B2263E"/>
    <w:rsid w:val="00B40AD8"/>
    <w:rsid w:val="00B41FA9"/>
    <w:rsid w:val="00B54A2D"/>
    <w:rsid w:val="00B54B12"/>
    <w:rsid w:val="00B5686B"/>
    <w:rsid w:val="00B6288C"/>
    <w:rsid w:val="00B82AA5"/>
    <w:rsid w:val="00B85867"/>
    <w:rsid w:val="00BA4E1B"/>
    <w:rsid w:val="00BB725A"/>
    <w:rsid w:val="00BE7F73"/>
    <w:rsid w:val="00BF2859"/>
    <w:rsid w:val="00BF2C62"/>
    <w:rsid w:val="00BF5921"/>
    <w:rsid w:val="00C1043F"/>
    <w:rsid w:val="00C13241"/>
    <w:rsid w:val="00C15157"/>
    <w:rsid w:val="00C179E9"/>
    <w:rsid w:val="00C206FC"/>
    <w:rsid w:val="00C31858"/>
    <w:rsid w:val="00C45B5F"/>
    <w:rsid w:val="00C51AD8"/>
    <w:rsid w:val="00C52DCC"/>
    <w:rsid w:val="00C54467"/>
    <w:rsid w:val="00C54A78"/>
    <w:rsid w:val="00C734A8"/>
    <w:rsid w:val="00C81806"/>
    <w:rsid w:val="00C837E7"/>
    <w:rsid w:val="00CA2791"/>
    <w:rsid w:val="00CA3BBF"/>
    <w:rsid w:val="00CA4378"/>
    <w:rsid w:val="00CA7731"/>
    <w:rsid w:val="00CC2FC8"/>
    <w:rsid w:val="00CC54E5"/>
    <w:rsid w:val="00CE08FB"/>
    <w:rsid w:val="00CE0AC3"/>
    <w:rsid w:val="00CF1978"/>
    <w:rsid w:val="00CF5BAF"/>
    <w:rsid w:val="00D00734"/>
    <w:rsid w:val="00D11116"/>
    <w:rsid w:val="00D366D4"/>
    <w:rsid w:val="00D379FC"/>
    <w:rsid w:val="00D4203F"/>
    <w:rsid w:val="00D82D43"/>
    <w:rsid w:val="00D91ADD"/>
    <w:rsid w:val="00DA1617"/>
    <w:rsid w:val="00DA4164"/>
    <w:rsid w:val="00DA7A2A"/>
    <w:rsid w:val="00DA7C23"/>
    <w:rsid w:val="00DB69C2"/>
    <w:rsid w:val="00DD1908"/>
    <w:rsid w:val="00DD3554"/>
    <w:rsid w:val="00DD39B1"/>
    <w:rsid w:val="00DD72F0"/>
    <w:rsid w:val="00DE43B8"/>
    <w:rsid w:val="00E026B0"/>
    <w:rsid w:val="00E10562"/>
    <w:rsid w:val="00E247EF"/>
    <w:rsid w:val="00E25AB2"/>
    <w:rsid w:val="00E3041A"/>
    <w:rsid w:val="00E5015E"/>
    <w:rsid w:val="00E52D95"/>
    <w:rsid w:val="00E550D4"/>
    <w:rsid w:val="00E60D70"/>
    <w:rsid w:val="00E6276D"/>
    <w:rsid w:val="00E66505"/>
    <w:rsid w:val="00E74966"/>
    <w:rsid w:val="00E900C4"/>
    <w:rsid w:val="00E96BAE"/>
    <w:rsid w:val="00EB0644"/>
    <w:rsid w:val="00EB4E6D"/>
    <w:rsid w:val="00EC18FF"/>
    <w:rsid w:val="00EC6F86"/>
    <w:rsid w:val="00EE7997"/>
    <w:rsid w:val="00F056F6"/>
    <w:rsid w:val="00F165DA"/>
    <w:rsid w:val="00F25A6E"/>
    <w:rsid w:val="00F31108"/>
    <w:rsid w:val="00F637E0"/>
    <w:rsid w:val="00F702E9"/>
    <w:rsid w:val="00F71BAA"/>
    <w:rsid w:val="00F7603F"/>
    <w:rsid w:val="00F76636"/>
    <w:rsid w:val="00F97FFE"/>
    <w:rsid w:val="00FA5456"/>
    <w:rsid w:val="00FB18B7"/>
    <w:rsid w:val="00FB3466"/>
    <w:rsid w:val="00FC1299"/>
    <w:rsid w:val="00FC3D8B"/>
    <w:rsid w:val="00FC3DDE"/>
    <w:rsid w:val="00FD547A"/>
    <w:rsid w:val="00FD7807"/>
    <w:rsid w:val="00FE3172"/>
    <w:rsid w:val="00FE49A2"/>
    <w:rsid w:val="00FF5640"/>
    <w:rsid w:val="00FF6A9C"/>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108"/>
    <w:rPr>
      <w:lang w:eastAsia="en-US"/>
    </w:rPr>
  </w:style>
  <w:style w:type="paragraph" w:styleId="Heading1">
    <w:name w:val="heading 1"/>
    <w:basedOn w:val="Normal"/>
    <w:next w:val="Normal"/>
    <w:link w:val="Heading1Char"/>
    <w:uiPriority w:val="99"/>
    <w:qFormat/>
    <w:rsid w:val="00B54A2D"/>
    <w:pPr>
      <w:keepNext/>
      <w:keepLines/>
      <w:spacing w:before="240"/>
      <w:outlineLvl w:val="0"/>
    </w:pPr>
    <w:rPr>
      <w:rFonts w:ascii="Calibri Light" w:eastAsia="Times New Roman" w:hAnsi="Calibri Light"/>
      <w:color w:val="2E74B5"/>
      <w:sz w:val="32"/>
      <w:szCs w:val="32"/>
    </w:rPr>
  </w:style>
  <w:style w:type="paragraph" w:styleId="Heading3">
    <w:name w:val="heading 3"/>
    <w:basedOn w:val="Normal"/>
    <w:link w:val="Heading3Char"/>
    <w:uiPriority w:val="99"/>
    <w:qFormat/>
    <w:rsid w:val="009A4B72"/>
    <w:pPr>
      <w:spacing w:before="100" w:beforeAutospacing="1" w:after="100" w:afterAutospacing="1"/>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54A2D"/>
    <w:rPr>
      <w:rFonts w:ascii="Calibri Light" w:hAnsi="Calibri Light" w:cs="Times New Roman"/>
      <w:color w:val="2E74B5"/>
      <w:sz w:val="32"/>
      <w:szCs w:val="32"/>
    </w:rPr>
  </w:style>
  <w:style w:type="character" w:customStyle="1" w:styleId="Heading3Char">
    <w:name w:val="Heading 3 Char"/>
    <w:basedOn w:val="DefaultParagraphFont"/>
    <w:link w:val="Heading3"/>
    <w:uiPriority w:val="99"/>
    <w:locked/>
    <w:rsid w:val="009A4B72"/>
    <w:rPr>
      <w:rFonts w:ascii="Times New Roman" w:hAnsi="Times New Roman" w:cs="Times New Roman"/>
      <w:b/>
      <w:bCs/>
      <w:sz w:val="27"/>
      <w:szCs w:val="27"/>
      <w:lang w:eastAsia="en-GB"/>
    </w:rPr>
  </w:style>
  <w:style w:type="paragraph" w:styleId="NormalWeb">
    <w:name w:val="Normal (Web)"/>
    <w:basedOn w:val="Normal"/>
    <w:uiPriority w:val="99"/>
    <w:semiHidden/>
    <w:rsid w:val="009A4B72"/>
    <w:pPr>
      <w:spacing w:before="100" w:beforeAutospacing="1" w:after="100" w:afterAutospacing="1"/>
    </w:pPr>
    <w:rPr>
      <w:rFonts w:ascii="Times New Roman" w:eastAsia="Times New Roman" w:hAnsi="Times New Roman"/>
      <w:sz w:val="24"/>
      <w:szCs w:val="24"/>
      <w:lang w:eastAsia="en-GB"/>
    </w:rPr>
  </w:style>
  <w:style w:type="character" w:styleId="Strong">
    <w:name w:val="Strong"/>
    <w:basedOn w:val="DefaultParagraphFont"/>
    <w:uiPriority w:val="99"/>
    <w:qFormat/>
    <w:rsid w:val="009A4B72"/>
    <w:rPr>
      <w:rFonts w:cs="Times New Roman"/>
      <w:b/>
      <w:bCs/>
    </w:rPr>
  </w:style>
  <w:style w:type="paragraph" w:styleId="ListParagraph">
    <w:name w:val="List Paragraph"/>
    <w:basedOn w:val="Normal"/>
    <w:uiPriority w:val="99"/>
    <w:qFormat/>
    <w:rsid w:val="009F4A9C"/>
    <w:pPr>
      <w:ind w:left="720"/>
      <w:contextualSpacing/>
    </w:pPr>
  </w:style>
  <w:style w:type="paragraph" w:styleId="BalloonText">
    <w:name w:val="Balloon Text"/>
    <w:basedOn w:val="Normal"/>
    <w:link w:val="BalloonTextChar"/>
    <w:uiPriority w:val="99"/>
    <w:semiHidden/>
    <w:rsid w:val="00CA2791"/>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A2791"/>
    <w:rPr>
      <w:rFonts w:ascii="Segoe UI" w:hAnsi="Segoe UI" w:cs="Segoe UI"/>
      <w:sz w:val="18"/>
      <w:szCs w:val="18"/>
    </w:rPr>
  </w:style>
  <w:style w:type="table" w:styleId="TableGrid">
    <w:name w:val="Table Grid"/>
    <w:basedOn w:val="TableNormal"/>
    <w:uiPriority w:val="99"/>
    <w:rsid w:val="002F126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rsid w:val="00B54A2D"/>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518883300">
      <w:marLeft w:val="0"/>
      <w:marRight w:val="0"/>
      <w:marTop w:val="0"/>
      <w:marBottom w:val="0"/>
      <w:divBdr>
        <w:top w:val="none" w:sz="0" w:space="0" w:color="auto"/>
        <w:left w:val="none" w:sz="0" w:space="0" w:color="auto"/>
        <w:bottom w:val="none" w:sz="0" w:space="0" w:color="auto"/>
        <w:right w:val="none" w:sz="0" w:space="0" w:color="auto"/>
      </w:divBdr>
    </w:div>
    <w:div w:id="1518883304">
      <w:marLeft w:val="0"/>
      <w:marRight w:val="0"/>
      <w:marTop w:val="0"/>
      <w:marBottom w:val="0"/>
      <w:divBdr>
        <w:top w:val="none" w:sz="0" w:space="0" w:color="auto"/>
        <w:left w:val="none" w:sz="0" w:space="0" w:color="auto"/>
        <w:bottom w:val="none" w:sz="0" w:space="0" w:color="auto"/>
        <w:right w:val="none" w:sz="0" w:space="0" w:color="auto"/>
      </w:divBdr>
    </w:div>
    <w:div w:id="1518883309">
      <w:marLeft w:val="0"/>
      <w:marRight w:val="0"/>
      <w:marTop w:val="0"/>
      <w:marBottom w:val="0"/>
      <w:divBdr>
        <w:top w:val="none" w:sz="0" w:space="0" w:color="auto"/>
        <w:left w:val="none" w:sz="0" w:space="0" w:color="auto"/>
        <w:bottom w:val="none" w:sz="0" w:space="0" w:color="auto"/>
        <w:right w:val="none" w:sz="0" w:space="0" w:color="auto"/>
      </w:divBdr>
      <w:divsChild>
        <w:div w:id="1518883299">
          <w:marLeft w:val="0"/>
          <w:marRight w:val="0"/>
          <w:marTop w:val="0"/>
          <w:marBottom w:val="0"/>
          <w:divBdr>
            <w:top w:val="none" w:sz="0" w:space="0" w:color="auto"/>
            <w:left w:val="none" w:sz="0" w:space="0" w:color="auto"/>
            <w:bottom w:val="none" w:sz="0" w:space="0" w:color="auto"/>
            <w:right w:val="none" w:sz="0" w:space="0" w:color="auto"/>
          </w:divBdr>
          <w:divsChild>
            <w:div w:id="1518883302">
              <w:marLeft w:val="0"/>
              <w:marRight w:val="450"/>
              <w:marTop w:val="0"/>
              <w:marBottom w:val="300"/>
              <w:divBdr>
                <w:top w:val="none" w:sz="0" w:space="0" w:color="auto"/>
                <w:left w:val="none" w:sz="0" w:space="0" w:color="auto"/>
                <w:bottom w:val="none" w:sz="0" w:space="0" w:color="auto"/>
                <w:right w:val="none" w:sz="0" w:space="0" w:color="auto"/>
              </w:divBdr>
              <w:divsChild>
                <w:div w:id="1518883298">
                  <w:marLeft w:val="0"/>
                  <w:marRight w:val="0"/>
                  <w:marTop w:val="0"/>
                  <w:marBottom w:val="0"/>
                  <w:divBdr>
                    <w:top w:val="none" w:sz="0" w:space="0" w:color="auto"/>
                    <w:left w:val="none" w:sz="0" w:space="0" w:color="auto"/>
                    <w:bottom w:val="none" w:sz="0" w:space="0" w:color="auto"/>
                    <w:right w:val="none" w:sz="0" w:space="0" w:color="auto"/>
                  </w:divBdr>
                  <w:divsChild>
                    <w:div w:id="1518883332">
                      <w:marLeft w:val="0"/>
                      <w:marRight w:val="0"/>
                      <w:marTop w:val="0"/>
                      <w:marBottom w:val="300"/>
                      <w:divBdr>
                        <w:top w:val="none" w:sz="0" w:space="0" w:color="auto"/>
                        <w:left w:val="none" w:sz="0" w:space="0" w:color="auto"/>
                        <w:bottom w:val="none" w:sz="0" w:space="0" w:color="auto"/>
                        <w:right w:val="none" w:sz="0" w:space="0" w:color="auto"/>
                      </w:divBdr>
                    </w:div>
                  </w:divsChild>
                </w:div>
                <w:div w:id="1518883305">
                  <w:marLeft w:val="0"/>
                  <w:marRight w:val="0"/>
                  <w:marTop w:val="375"/>
                  <w:marBottom w:val="0"/>
                  <w:divBdr>
                    <w:top w:val="none" w:sz="0" w:space="0" w:color="auto"/>
                    <w:left w:val="none" w:sz="0" w:space="0" w:color="auto"/>
                    <w:bottom w:val="none" w:sz="0" w:space="0" w:color="auto"/>
                    <w:right w:val="none" w:sz="0" w:space="0" w:color="auto"/>
                  </w:divBdr>
                  <w:divsChild>
                    <w:div w:id="1518883318">
                      <w:marLeft w:val="0"/>
                      <w:marRight w:val="0"/>
                      <w:marTop w:val="0"/>
                      <w:marBottom w:val="300"/>
                      <w:divBdr>
                        <w:top w:val="none" w:sz="0" w:space="0" w:color="auto"/>
                        <w:left w:val="none" w:sz="0" w:space="0" w:color="auto"/>
                        <w:bottom w:val="none" w:sz="0" w:space="0" w:color="auto"/>
                        <w:right w:val="none" w:sz="0" w:space="0" w:color="auto"/>
                      </w:divBdr>
                    </w:div>
                  </w:divsChild>
                </w:div>
                <w:div w:id="1518883328">
                  <w:marLeft w:val="0"/>
                  <w:marRight w:val="0"/>
                  <w:marTop w:val="750"/>
                  <w:marBottom w:val="180"/>
                  <w:divBdr>
                    <w:top w:val="none" w:sz="0" w:space="0" w:color="auto"/>
                    <w:left w:val="none" w:sz="0" w:space="0" w:color="auto"/>
                    <w:bottom w:val="none" w:sz="0" w:space="0" w:color="auto"/>
                    <w:right w:val="none" w:sz="0" w:space="0" w:color="auto"/>
                  </w:divBdr>
                </w:div>
              </w:divsChild>
            </w:div>
          </w:divsChild>
        </w:div>
        <w:div w:id="1518883301">
          <w:marLeft w:val="2625"/>
          <w:marRight w:val="0"/>
          <w:marTop w:val="0"/>
          <w:marBottom w:val="0"/>
          <w:divBdr>
            <w:top w:val="none" w:sz="0" w:space="0" w:color="auto"/>
            <w:left w:val="none" w:sz="0" w:space="0" w:color="auto"/>
            <w:bottom w:val="none" w:sz="0" w:space="0" w:color="auto"/>
            <w:right w:val="none" w:sz="0" w:space="0" w:color="auto"/>
          </w:divBdr>
          <w:divsChild>
            <w:div w:id="1518883336">
              <w:marLeft w:val="0"/>
              <w:marRight w:val="0"/>
              <w:marTop w:val="0"/>
              <w:marBottom w:val="0"/>
              <w:divBdr>
                <w:top w:val="none" w:sz="0" w:space="0" w:color="auto"/>
                <w:left w:val="none" w:sz="0" w:space="0" w:color="auto"/>
                <w:bottom w:val="none" w:sz="0" w:space="0" w:color="auto"/>
                <w:right w:val="none" w:sz="0" w:space="0" w:color="auto"/>
              </w:divBdr>
              <w:divsChild>
                <w:div w:id="1518883326">
                  <w:marLeft w:val="0"/>
                  <w:marRight w:val="0"/>
                  <w:marTop w:val="0"/>
                  <w:marBottom w:val="0"/>
                  <w:divBdr>
                    <w:top w:val="none" w:sz="0" w:space="0" w:color="auto"/>
                    <w:left w:val="none" w:sz="0" w:space="0" w:color="auto"/>
                    <w:bottom w:val="none" w:sz="0" w:space="0" w:color="auto"/>
                    <w:right w:val="none" w:sz="0" w:space="0" w:color="auto"/>
                  </w:divBdr>
                  <w:divsChild>
                    <w:div w:id="151888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88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883310">
      <w:marLeft w:val="0"/>
      <w:marRight w:val="0"/>
      <w:marTop w:val="0"/>
      <w:marBottom w:val="0"/>
      <w:divBdr>
        <w:top w:val="none" w:sz="0" w:space="0" w:color="auto"/>
        <w:left w:val="none" w:sz="0" w:space="0" w:color="auto"/>
        <w:bottom w:val="none" w:sz="0" w:space="0" w:color="auto"/>
        <w:right w:val="none" w:sz="0" w:space="0" w:color="auto"/>
      </w:divBdr>
    </w:div>
    <w:div w:id="1518883314">
      <w:marLeft w:val="0"/>
      <w:marRight w:val="0"/>
      <w:marTop w:val="0"/>
      <w:marBottom w:val="0"/>
      <w:divBdr>
        <w:top w:val="none" w:sz="0" w:space="0" w:color="auto"/>
        <w:left w:val="none" w:sz="0" w:space="0" w:color="auto"/>
        <w:bottom w:val="none" w:sz="0" w:space="0" w:color="auto"/>
        <w:right w:val="none" w:sz="0" w:space="0" w:color="auto"/>
      </w:divBdr>
    </w:div>
    <w:div w:id="1518883315">
      <w:marLeft w:val="0"/>
      <w:marRight w:val="0"/>
      <w:marTop w:val="0"/>
      <w:marBottom w:val="0"/>
      <w:divBdr>
        <w:top w:val="none" w:sz="0" w:space="0" w:color="auto"/>
        <w:left w:val="none" w:sz="0" w:space="0" w:color="auto"/>
        <w:bottom w:val="none" w:sz="0" w:space="0" w:color="auto"/>
        <w:right w:val="none" w:sz="0" w:space="0" w:color="auto"/>
      </w:divBdr>
    </w:div>
    <w:div w:id="1518883319">
      <w:marLeft w:val="0"/>
      <w:marRight w:val="0"/>
      <w:marTop w:val="0"/>
      <w:marBottom w:val="0"/>
      <w:divBdr>
        <w:top w:val="none" w:sz="0" w:space="0" w:color="auto"/>
        <w:left w:val="none" w:sz="0" w:space="0" w:color="auto"/>
        <w:bottom w:val="none" w:sz="0" w:space="0" w:color="auto"/>
        <w:right w:val="none" w:sz="0" w:space="0" w:color="auto"/>
      </w:divBdr>
      <w:divsChild>
        <w:div w:id="1518883333">
          <w:marLeft w:val="0"/>
          <w:marRight w:val="0"/>
          <w:marTop w:val="0"/>
          <w:marBottom w:val="0"/>
          <w:divBdr>
            <w:top w:val="none" w:sz="0" w:space="0" w:color="auto"/>
            <w:left w:val="none" w:sz="0" w:space="0" w:color="auto"/>
            <w:bottom w:val="none" w:sz="0" w:space="0" w:color="auto"/>
            <w:right w:val="none" w:sz="0" w:space="0" w:color="auto"/>
          </w:divBdr>
          <w:divsChild>
            <w:div w:id="1518883296">
              <w:marLeft w:val="0"/>
              <w:marRight w:val="0"/>
              <w:marTop w:val="0"/>
              <w:marBottom w:val="0"/>
              <w:divBdr>
                <w:top w:val="none" w:sz="0" w:space="0" w:color="auto"/>
                <w:left w:val="none" w:sz="0" w:space="0" w:color="auto"/>
                <w:bottom w:val="none" w:sz="0" w:space="0" w:color="auto"/>
                <w:right w:val="none" w:sz="0" w:space="0" w:color="auto"/>
              </w:divBdr>
            </w:div>
            <w:div w:id="1518883297">
              <w:marLeft w:val="0"/>
              <w:marRight w:val="0"/>
              <w:marTop w:val="0"/>
              <w:marBottom w:val="0"/>
              <w:divBdr>
                <w:top w:val="none" w:sz="0" w:space="0" w:color="auto"/>
                <w:left w:val="none" w:sz="0" w:space="0" w:color="auto"/>
                <w:bottom w:val="none" w:sz="0" w:space="0" w:color="auto"/>
                <w:right w:val="none" w:sz="0" w:space="0" w:color="auto"/>
              </w:divBdr>
            </w:div>
            <w:div w:id="1518883303">
              <w:marLeft w:val="0"/>
              <w:marRight w:val="0"/>
              <w:marTop w:val="0"/>
              <w:marBottom w:val="0"/>
              <w:divBdr>
                <w:top w:val="none" w:sz="0" w:space="0" w:color="auto"/>
                <w:left w:val="none" w:sz="0" w:space="0" w:color="auto"/>
                <w:bottom w:val="none" w:sz="0" w:space="0" w:color="auto"/>
                <w:right w:val="none" w:sz="0" w:space="0" w:color="auto"/>
              </w:divBdr>
            </w:div>
            <w:div w:id="1518883306">
              <w:marLeft w:val="0"/>
              <w:marRight w:val="0"/>
              <w:marTop w:val="0"/>
              <w:marBottom w:val="0"/>
              <w:divBdr>
                <w:top w:val="none" w:sz="0" w:space="0" w:color="auto"/>
                <w:left w:val="none" w:sz="0" w:space="0" w:color="auto"/>
                <w:bottom w:val="none" w:sz="0" w:space="0" w:color="auto"/>
                <w:right w:val="none" w:sz="0" w:space="0" w:color="auto"/>
              </w:divBdr>
            </w:div>
            <w:div w:id="1518883308">
              <w:marLeft w:val="0"/>
              <w:marRight w:val="0"/>
              <w:marTop w:val="0"/>
              <w:marBottom w:val="0"/>
              <w:divBdr>
                <w:top w:val="none" w:sz="0" w:space="0" w:color="auto"/>
                <w:left w:val="none" w:sz="0" w:space="0" w:color="auto"/>
                <w:bottom w:val="none" w:sz="0" w:space="0" w:color="auto"/>
                <w:right w:val="none" w:sz="0" w:space="0" w:color="auto"/>
              </w:divBdr>
            </w:div>
            <w:div w:id="1518883311">
              <w:marLeft w:val="0"/>
              <w:marRight w:val="0"/>
              <w:marTop w:val="0"/>
              <w:marBottom w:val="0"/>
              <w:divBdr>
                <w:top w:val="none" w:sz="0" w:space="0" w:color="auto"/>
                <w:left w:val="none" w:sz="0" w:space="0" w:color="auto"/>
                <w:bottom w:val="none" w:sz="0" w:space="0" w:color="auto"/>
                <w:right w:val="none" w:sz="0" w:space="0" w:color="auto"/>
              </w:divBdr>
            </w:div>
            <w:div w:id="1518883312">
              <w:marLeft w:val="0"/>
              <w:marRight w:val="0"/>
              <w:marTop w:val="0"/>
              <w:marBottom w:val="0"/>
              <w:divBdr>
                <w:top w:val="none" w:sz="0" w:space="0" w:color="auto"/>
                <w:left w:val="none" w:sz="0" w:space="0" w:color="auto"/>
                <w:bottom w:val="none" w:sz="0" w:space="0" w:color="auto"/>
                <w:right w:val="none" w:sz="0" w:space="0" w:color="auto"/>
              </w:divBdr>
            </w:div>
            <w:div w:id="1518883313">
              <w:marLeft w:val="0"/>
              <w:marRight w:val="0"/>
              <w:marTop w:val="0"/>
              <w:marBottom w:val="0"/>
              <w:divBdr>
                <w:top w:val="none" w:sz="0" w:space="0" w:color="auto"/>
                <w:left w:val="none" w:sz="0" w:space="0" w:color="auto"/>
                <w:bottom w:val="none" w:sz="0" w:space="0" w:color="auto"/>
                <w:right w:val="none" w:sz="0" w:space="0" w:color="auto"/>
              </w:divBdr>
            </w:div>
            <w:div w:id="1518883316">
              <w:marLeft w:val="0"/>
              <w:marRight w:val="0"/>
              <w:marTop w:val="0"/>
              <w:marBottom w:val="0"/>
              <w:divBdr>
                <w:top w:val="none" w:sz="0" w:space="0" w:color="auto"/>
                <w:left w:val="none" w:sz="0" w:space="0" w:color="auto"/>
                <w:bottom w:val="none" w:sz="0" w:space="0" w:color="auto"/>
                <w:right w:val="none" w:sz="0" w:space="0" w:color="auto"/>
              </w:divBdr>
            </w:div>
            <w:div w:id="1518883317">
              <w:marLeft w:val="0"/>
              <w:marRight w:val="0"/>
              <w:marTop w:val="0"/>
              <w:marBottom w:val="0"/>
              <w:divBdr>
                <w:top w:val="none" w:sz="0" w:space="0" w:color="auto"/>
                <w:left w:val="none" w:sz="0" w:space="0" w:color="auto"/>
                <w:bottom w:val="none" w:sz="0" w:space="0" w:color="auto"/>
                <w:right w:val="none" w:sz="0" w:space="0" w:color="auto"/>
              </w:divBdr>
            </w:div>
            <w:div w:id="1518883320">
              <w:marLeft w:val="0"/>
              <w:marRight w:val="0"/>
              <w:marTop w:val="0"/>
              <w:marBottom w:val="0"/>
              <w:divBdr>
                <w:top w:val="none" w:sz="0" w:space="0" w:color="auto"/>
                <w:left w:val="none" w:sz="0" w:space="0" w:color="auto"/>
                <w:bottom w:val="none" w:sz="0" w:space="0" w:color="auto"/>
                <w:right w:val="none" w:sz="0" w:space="0" w:color="auto"/>
              </w:divBdr>
            </w:div>
            <w:div w:id="1518883321">
              <w:marLeft w:val="0"/>
              <w:marRight w:val="0"/>
              <w:marTop w:val="0"/>
              <w:marBottom w:val="0"/>
              <w:divBdr>
                <w:top w:val="none" w:sz="0" w:space="0" w:color="auto"/>
                <w:left w:val="none" w:sz="0" w:space="0" w:color="auto"/>
                <w:bottom w:val="none" w:sz="0" w:space="0" w:color="auto"/>
                <w:right w:val="none" w:sz="0" w:space="0" w:color="auto"/>
              </w:divBdr>
            </w:div>
            <w:div w:id="1518883322">
              <w:marLeft w:val="0"/>
              <w:marRight w:val="0"/>
              <w:marTop w:val="0"/>
              <w:marBottom w:val="0"/>
              <w:divBdr>
                <w:top w:val="none" w:sz="0" w:space="0" w:color="auto"/>
                <w:left w:val="none" w:sz="0" w:space="0" w:color="auto"/>
                <w:bottom w:val="none" w:sz="0" w:space="0" w:color="auto"/>
                <w:right w:val="none" w:sz="0" w:space="0" w:color="auto"/>
              </w:divBdr>
            </w:div>
            <w:div w:id="1518883323">
              <w:marLeft w:val="0"/>
              <w:marRight w:val="0"/>
              <w:marTop w:val="0"/>
              <w:marBottom w:val="0"/>
              <w:divBdr>
                <w:top w:val="none" w:sz="0" w:space="0" w:color="auto"/>
                <w:left w:val="none" w:sz="0" w:space="0" w:color="auto"/>
                <w:bottom w:val="none" w:sz="0" w:space="0" w:color="auto"/>
                <w:right w:val="none" w:sz="0" w:space="0" w:color="auto"/>
              </w:divBdr>
            </w:div>
            <w:div w:id="1518883324">
              <w:marLeft w:val="0"/>
              <w:marRight w:val="0"/>
              <w:marTop w:val="0"/>
              <w:marBottom w:val="0"/>
              <w:divBdr>
                <w:top w:val="none" w:sz="0" w:space="0" w:color="auto"/>
                <w:left w:val="none" w:sz="0" w:space="0" w:color="auto"/>
                <w:bottom w:val="none" w:sz="0" w:space="0" w:color="auto"/>
                <w:right w:val="none" w:sz="0" w:space="0" w:color="auto"/>
              </w:divBdr>
            </w:div>
            <w:div w:id="1518883325">
              <w:marLeft w:val="0"/>
              <w:marRight w:val="0"/>
              <w:marTop w:val="0"/>
              <w:marBottom w:val="0"/>
              <w:divBdr>
                <w:top w:val="none" w:sz="0" w:space="0" w:color="auto"/>
                <w:left w:val="none" w:sz="0" w:space="0" w:color="auto"/>
                <w:bottom w:val="none" w:sz="0" w:space="0" w:color="auto"/>
                <w:right w:val="none" w:sz="0" w:space="0" w:color="auto"/>
              </w:divBdr>
            </w:div>
            <w:div w:id="1518883327">
              <w:marLeft w:val="0"/>
              <w:marRight w:val="0"/>
              <w:marTop w:val="0"/>
              <w:marBottom w:val="0"/>
              <w:divBdr>
                <w:top w:val="none" w:sz="0" w:space="0" w:color="auto"/>
                <w:left w:val="none" w:sz="0" w:space="0" w:color="auto"/>
                <w:bottom w:val="none" w:sz="0" w:space="0" w:color="auto"/>
                <w:right w:val="none" w:sz="0" w:space="0" w:color="auto"/>
              </w:divBdr>
            </w:div>
            <w:div w:id="1518883329">
              <w:marLeft w:val="0"/>
              <w:marRight w:val="0"/>
              <w:marTop w:val="0"/>
              <w:marBottom w:val="0"/>
              <w:divBdr>
                <w:top w:val="none" w:sz="0" w:space="0" w:color="auto"/>
                <w:left w:val="none" w:sz="0" w:space="0" w:color="auto"/>
                <w:bottom w:val="none" w:sz="0" w:space="0" w:color="auto"/>
                <w:right w:val="none" w:sz="0" w:space="0" w:color="auto"/>
              </w:divBdr>
            </w:div>
            <w:div w:id="1518883330">
              <w:marLeft w:val="0"/>
              <w:marRight w:val="0"/>
              <w:marTop w:val="0"/>
              <w:marBottom w:val="0"/>
              <w:divBdr>
                <w:top w:val="none" w:sz="0" w:space="0" w:color="auto"/>
                <w:left w:val="none" w:sz="0" w:space="0" w:color="auto"/>
                <w:bottom w:val="none" w:sz="0" w:space="0" w:color="auto"/>
                <w:right w:val="none" w:sz="0" w:space="0" w:color="auto"/>
              </w:divBdr>
            </w:div>
            <w:div w:id="1518883331">
              <w:marLeft w:val="0"/>
              <w:marRight w:val="0"/>
              <w:marTop w:val="0"/>
              <w:marBottom w:val="0"/>
              <w:divBdr>
                <w:top w:val="none" w:sz="0" w:space="0" w:color="auto"/>
                <w:left w:val="none" w:sz="0" w:space="0" w:color="auto"/>
                <w:bottom w:val="none" w:sz="0" w:space="0" w:color="auto"/>
                <w:right w:val="none" w:sz="0" w:space="0" w:color="auto"/>
              </w:divBdr>
            </w:div>
            <w:div w:id="1518883335">
              <w:marLeft w:val="0"/>
              <w:marRight w:val="0"/>
              <w:marTop w:val="0"/>
              <w:marBottom w:val="0"/>
              <w:divBdr>
                <w:top w:val="none" w:sz="0" w:space="0" w:color="auto"/>
                <w:left w:val="none" w:sz="0" w:space="0" w:color="auto"/>
                <w:bottom w:val="none" w:sz="0" w:space="0" w:color="auto"/>
                <w:right w:val="none" w:sz="0" w:space="0" w:color="auto"/>
              </w:divBdr>
            </w:div>
            <w:div w:id="1518883337">
              <w:marLeft w:val="0"/>
              <w:marRight w:val="0"/>
              <w:marTop w:val="0"/>
              <w:marBottom w:val="0"/>
              <w:divBdr>
                <w:top w:val="none" w:sz="0" w:space="0" w:color="auto"/>
                <w:left w:val="none" w:sz="0" w:space="0" w:color="auto"/>
                <w:bottom w:val="none" w:sz="0" w:space="0" w:color="auto"/>
                <w:right w:val="none" w:sz="0" w:space="0" w:color="auto"/>
              </w:divBdr>
            </w:div>
            <w:div w:id="151888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8833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loomberg.com/news/articles/2019-02-27/saudi-arabia-s-crude-supply-to-u-s-gulf-falling-fast-and-hard" TargetMode="External"/><Relationship Id="rId5" Type="http://schemas.openxmlformats.org/officeDocument/2006/relationships/hyperlink" Target="https://www.cnbc.com/video/2019/02/28/the-us-is-spoiling-the-opec-party-says-strategist.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4</Pages>
  <Words>1364</Words>
  <Characters>7781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WK 12</dc:title>
  <dc:subject/>
  <dc:creator>MCollins1</dc:creator>
  <cp:keywords/>
  <dc:description/>
  <cp:lastModifiedBy>MCollins1</cp:lastModifiedBy>
  <cp:revision>21</cp:revision>
  <cp:lastPrinted>2019-03-03T19:04:00Z</cp:lastPrinted>
  <dcterms:created xsi:type="dcterms:W3CDTF">2019-03-17T21:43:00Z</dcterms:created>
  <dcterms:modified xsi:type="dcterms:W3CDTF">2019-03-17T22:12:00Z</dcterms:modified>
</cp:coreProperties>
</file>