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0" style="width:432.000000pt;height:243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starting with 50K trading standard lots never more the 3 lots at a time...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10281" w:dyaOrig="5413">
          <v:rect xmlns:o="urn:schemas-microsoft-com:office:office" xmlns:v="urn:schemas-microsoft-com:vml" id="rectole0000000001" style="width:514.050000pt;height:270.6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AUDJPY backtest , 117 days trading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_____________________________________________________________________________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 "Always-IN" technique , deffinetely not the reccomended style , nevertheless produced adequate returns , with minimal drawdown...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"lot" was left on the table using this tecnique... so it gave me an idea , for another test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(soon to be shared with you...)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2" style="width:432.000000pt;height:243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3" style="width:432.000000pt;height:243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Dib" DrawAspect="Content" ObjectID="0000000003" ShapeID="rectole0000000003" r:id="docRId6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embeddings/oleObject3.bin" Id="docRId6" Type="http://schemas.openxmlformats.org/officeDocument/2006/relationships/oleObject"/><Relationship Target="numbering.xml" Id="docRId8" Type="http://schemas.openxmlformats.org/officeDocument/2006/relationships/numbering"/><Relationship Target="media/image0.wmf" Id="docRId1" Type="http://schemas.openxmlformats.org/officeDocument/2006/relationships/image"/><Relationship Target="media/image2.wmf" Id="docRId5" Type="http://schemas.openxmlformats.org/officeDocument/2006/relationships/image"/><Relationship Target="styles.xml" Id="docRId9" Type="http://schemas.openxmlformats.org/officeDocument/2006/relationships/styles"/></Relationships>
</file>