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DC3" w:rsidRDefault="00AE7B8E">
      <w:r>
        <w:rPr>
          <w:sz w:val="32"/>
          <w:szCs w:val="32"/>
          <w:u w:val="single"/>
        </w:rPr>
        <w:t xml:space="preserve">CFTC Data for Week Ended </w:t>
      </w:r>
      <w:r w:rsidR="001B57A9">
        <w:rPr>
          <w:sz w:val="32"/>
          <w:szCs w:val="32"/>
          <w:u w:val="single"/>
        </w:rPr>
        <w:t>Feb. 3</w:t>
      </w:r>
      <w:r w:rsidR="00440BC8" w:rsidRPr="00E61E72">
        <w:rPr>
          <w:sz w:val="32"/>
          <w:szCs w:val="32"/>
          <w:u w:val="single"/>
        </w:rPr>
        <w:br/>
      </w:r>
      <w:r w:rsidR="00440BC8">
        <w:br/>
      </w:r>
      <w:r w:rsidR="00587DC3">
        <w:t>LEVERAGED FUNDS</w:t>
      </w:r>
      <w:r w:rsidR="00587DC3"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587DC3" w:rsidTr="00587DC3">
        <w:tc>
          <w:tcPr>
            <w:tcW w:w="2394" w:type="dxa"/>
          </w:tcPr>
          <w:p w:rsidR="00587DC3" w:rsidRDefault="00587DC3">
            <w:r>
              <w:t>Country</w:t>
            </w:r>
          </w:p>
        </w:tc>
        <w:tc>
          <w:tcPr>
            <w:tcW w:w="2394" w:type="dxa"/>
          </w:tcPr>
          <w:p w:rsidR="00587DC3" w:rsidRDefault="00587DC3">
            <w:r>
              <w:t>Net Position</w:t>
            </w:r>
          </w:p>
        </w:tc>
        <w:tc>
          <w:tcPr>
            <w:tcW w:w="2394" w:type="dxa"/>
          </w:tcPr>
          <w:p w:rsidR="00587DC3" w:rsidRDefault="00587DC3">
            <w:r>
              <w:t>Weekly Change</w:t>
            </w:r>
          </w:p>
        </w:tc>
        <w:tc>
          <w:tcPr>
            <w:tcW w:w="2394" w:type="dxa"/>
          </w:tcPr>
          <w:p w:rsidR="00587DC3" w:rsidRDefault="00587DC3"/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New Zealand Dollar</w:t>
            </w:r>
          </w:p>
        </w:tc>
        <w:tc>
          <w:tcPr>
            <w:tcW w:w="2394" w:type="dxa"/>
          </w:tcPr>
          <w:p w:rsidR="00587DC3" w:rsidRDefault="001B57A9">
            <w:r>
              <w:t>-3,514</w:t>
            </w:r>
          </w:p>
        </w:tc>
        <w:tc>
          <w:tcPr>
            <w:tcW w:w="2394" w:type="dxa"/>
          </w:tcPr>
          <w:p w:rsidR="00587DC3" w:rsidRDefault="001B57A9">
            <w:r>
              <w:t>-747</w:t>
            </w:r>
          </w:p>
        </w:tc>
        <w:tc>
          <w:tcPr>
            <w:tcW w:w="2394" w:type="dxa"/>
          </w:tcPr>
          <w:p w:rsidR="00587DC3" w:rsidRDefault="008A4811">
            <w:r>
              <w:t xml:space="preserve">Largest net short </w:t>
            </w:r>
            <w:r w:rsidR="001B57A9">
              <w:t>position since week ended Nov. 4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Australian Dollar</w:t>
            </w:r>
          </w:p>
        </w:tc>
        <w:tc>
          <w:tcPr>
            <w:tcW w:w="2394" w:type="dxa"/>
          </w:tcPr>
          <w:p w:rsidR="00341C6A" w:rsidRDefault="001B57A9" w:rsidP="001132FF">
            <w:r>
              <w:t>-37,226</w:t>
            </w:r>
          </w:p>
        </w:tc>
        <w:tc>
          <w:tcPr>
            <w:tcW w:w="2394" w:type="dxa"/>
          </w:tcPr>
          <w:p w:rsidR="00587DC3" w:rsidRDefault="001B57A9">
            <w:r>
              <w:t>-7,879</w:t>
            </w:r>
          </w:p>
        </w:tc>
        <w:tc>
          <w:tcPr>
            <w:tcW w:w="2394" w:type="dxa"/>
          </w:tcPr>
          <w:p w:rsidR="00587DC3" w:rsidRDefault="001B57A9">
            <w:r>
              <w:t>First increase in net short position in 4 weeks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Japanese Yen</w:t>
            </w:r>
          </w:p>
        </w:tc>
        <w:tc>
          <w:tcPr>
            <w:tcW w:w="2394" w:type="dxa"/>
          </w:tcPr>
          <w:p w:rsidR="00587DC3" w:rsidRDefault="00D21DD9">
            <w:r>
              <w:t>-</w:t>
            </w:r>
            <w:r w:rsidR="001B57A9">
              <w:t>57,945</w:t>
            </w:r>
          </w:p>
        </w:tc>
        <w:tc>
          <w:tcPr>
            <w:tcW w:w="2394" w:type="dxa"/>
          </w:tcPr>
          <w:p w:rsidR="00587DC3" w:rsidRDefault="00CA7CC3">
            <w:r>
              <w:t>+1,428</w:t>
            </w:r>
          </w:p>
        </w:tc>
        <w:tc>
          <w:tcPr>
            <w:tcW w:w="2394" w:type="dxa"/>
          </w:tcPr>
          <w:p w:rsidR="00587DC3" w:rsidRDefault="008A4811">
            <w:r>
              <w:t>Smallest net short position since week ended Nov. 4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Euro</w:t>
            </w:r>
          </w:p>
        </w:tc>
        <w:tc>
          <w:tcPr>
            <w:tcW w:w="2394" w:type="dxa"/>
          </w:tcPr>
          <w:p w:rsidR="00587DC3" w:rsidRDefault="00CA7CC3">
            <w:r>
              <w:t>-147,625</w:t>
            </w:r>
          </w:p>
        </w:tc>
        <w:tc>
          <w:tcPr>
            <w:tcW w:w="2394" w:type="dxa"/>
          </w:tcPr>
          <w:p w:rsidR="00587DC3" w:rsidRDefault="00CA7CC3">
            <w:r>
              <w:t>-16,032</w:t>
            </w:r>
          </w:p>
        </w:tc>
        <w:tc>
          <w:tcPr>
            <w:tcW w:w="2394" w:type="dxa"/>
          </w:tcPr>
          <w:p w:rsidR="00587DC3" w:rsidRDefault="00CA7CC3">
            <w:r>
              <w:t>Largest net short position since week ended June 5, 2012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Great British Pound</w:t>
            </w:r>
          </w:p>
        </w:tc>
        <w:tc>
          <w:tcPr>
            <w:tcW w:w="2394" w:type="dxa"/>
          </w:tcPr>
          <w:p w:rsidR="00587DC3" w:rsidRDefault="00CA7CC3">
            <w:r>
              <w:t>-27,313</w:t>
            </w:r>
          </w:p>
        </w:tc>
        <w:tc>
          <w:tcPr>
            <w:tcW w:w="2394" w:type="dxa"/>
          </w:tcPr>
          <w:p w:rsidR="00587DC3" w:rsidRDefault="00CA7CC3">
            <w:r>
              <w:t>+2,146</w:t>
            </w:r>
          </w:p>
        </w:tc>
        <w:tc>
          <w:tcPr>
            <w:tcW w:w="2394" w:type="dxa"/>
          </w:tcPr>
          <w:p w:rsidR="00587DC3" w:rsidRDefault="00CA7CC3" w:rsidP="00C13E19">
            <w:r>
              <w:t>First reduction in net short position in 4 weeks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Canadian Dollar</w:t>
            </w:r>
          </w:p>
        </w:tc>
        <w:tc>
          <w:tcPr>
            <w:tcW w:w="2394" w:type="dxa"/>
          </w:tcPr>
          <w:p w:rsidR="00587DC3" w:rsidRDefault="00914646">
            <w:r>
              <w:t>-32,803</w:t>
            </w:r>
          </w:p>
        </w:tc>
        <w:tc>
          <w:tcPr>
            <w:tcW w:w="2394" w:type="dxa"/>
          </w:tcPr>
          <w:p w:rsidR="00587DC3" w:rsidRDefault="00914646">
            <w:r>
              <w:t>-4,885</w:t>
            </w:r>
          </w:p>
        </w:tc>
        <w:tc>
          <w:tcPr>
            <w:tcW w:w="2394" w:type="dxa"/>
          </w:tcPr>
          <w:p w:rsidR="00587DC3" w:rsidRDefault="00914646">
            <w:r>
              <w:t>Largest net short position since week ended Dec. 2</w:t>
            </w:r>
          </w:p>
        </w:tc>
      </w:tr>
    </w:tbl>
    <w:p w:rsidR="00587DC3" w:rsidRDefault="00587DC3">
      <w:r>
        <w:br/>
      </w:r>
      <w:r>
        <w:br/>
        <w:t>ASSET MANAGERS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587DC3" w:rsidTr="00587DC3">
        <w:tc>
          <w:tcPr>
            <w:tcW w:w="2394" w:type="dxa"/>
          </w:tcPr>
          <w:p w:rsidR="00587DC3" w:rsidRDefault="00587DC3">
            <w:r>
              <w:t>Country</w:t>
            </w:r>
          </w:p>
        </w:tc>
        <w:tc>
          <w:tcPr>
            <w:tcW w:w="2394" w:type="dxa"/>
          </w:tcPr>
          <w:p w:rsidR="00587DC3" w:rsidRDefault="005B6955">
            <w:r>
              <w:t xml:space="preserve">Net Position </w:t>
            </w:r>
          </w:p>
        </w:tc>
        <w:tc>
          <w:tcPr>
            <w:tcW w:w="2394" w:type="dxa"/>
          </w:tcPr>
          <w:p w:rsidR="00587DC3" w:rsidRDefault="005B6955">
            <w:r>
              <w:t>Weekly Change</w:t>
            </w:r>
          </w:p>
        </w:tc>
        <w:tc>
          <w:tcPr>
            <w:tcW w:w="2394" w:type="dxa"/>
          </w:tcPr>
          <w:p w:rsidR="00587DC3" w:rsidRDefault="00587DC3"/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New Zealand Dollar</w:t>
            </w:r>
          </w:p>
        </w:tc>
        <w:tc>
          <w:tcPr>
            <w:tcW w:w="2394" w:type="dxa"/>
          </w:tcPr>
          <w:p w:rsidR="00587DC3" w:rsidRDefault="00914646">
            <w:r>
              <w:t>-15</w:t>
            </w:r>
          </w:p>
        </w:tc>
        <w:tc>
          <w:tcPr>
            <w:tcW w:w="2394" w:type="dxa"/>
          </w:tcPr>
          <w:p w:rsidR="00587DC3" w:rsidRDefault="00914646">
            <w:r>
              <w:t>+103</w:t>
            </w:r>
          </w:p>
        </w:tc>
        <w:tc>
          <w:tcPr>
            <w:tcW w:w="2394" w:type="dxa"/>
          </w:tcPr>
          <w:p w:rsidR="00587DC3" w:rsidRDefault="00587DC3"/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Australian Dollar</w:t>
            </w:r>
          </w:p>
        </w:tc>
        <w:tc>
          <w:tcPr>
            <w:tcW w:w="2394" w:type="dxa"/>
          </w:tcPr>
          <w:p w:rsidR="00587DC3" w:rsidRDefault="00914646">
            <w:r>
              <w:t>-14,400</w:t>
            </w:r>
          </w:p>
        </w:tc>
        <w:tc>
          <w:tcPr>
            <w:tcW w:w="2394" w:type="dxa"/>
          </w:tcPr>
          <w:p w:rsidR="00587DC3" w:rsidRDefault="00914646">
            <w:r>
              <w:t>+531</w:t>
            </w:r>
          </w:p>
        </w:tc>
        <w:tc>
          <w:tcPr>
            <w:tcW w:w="2394" w:type="dxa"/>
          </w:tcPr>
          <w:p w:rsidR="00587DC3" w:rsidRDefault="00914646">
            <w:r>
              <w:t>First reduction in net short position in 3 weeks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Japanese Yen</w:t>
            </w:r>
          </w:p>
        </w:tc>
        <w:tc>
          <w:tcPr>
            <w:tcW w:w="2394" w:type="dxa"/>
          </w:tcPr>
          <w:p w:rsidR="00587DC3" w:rsidRDefault="00B14BFE">
            <w:r>
              <w:t>-15,336</w:t>
            </w:r>
          </w:p>
        </w:tc>
        <w:tc>
          <w:tcPr>
            <w:tcW w:w="2394" w:type="dxa"/>
          </w:tcPr>
          <w:p w:rsidR="00587DC3" w:rsidRDefault="00B14BFE">
            <w:r>
              <w:t>-1,528</w:t>
            </w:r>
          </w:p>
        </w:tc>
        <w:tc>
          <w:tcPr>
            <w:tcW w:w="2394" w:type="dxa"/>
          </w:tcPr>
          <w:p w:rsidR="00587DC3" w:rsidRDefault="00F3256A">
            <w:r>
              <w:t xml:space="preserve">Largest net short position since funds switched from net long to net </w:t>
            </w:r>
            <w:r>
              <w:lastRenderedPageBreak/>
              <w:t xml:space="preserve">short </w:t>
            </w:r>
            <w:r w:rsidR="001D2FC7">
              <w:t>position in week ended Nov. 11</w:t>
            </w:r>
          </w:p>
        </w:tc>
      </w:tr>
      <w:tr w:rsidR="00587DC3" w:rsidTr="00587DC3">
        <w:tc>
          <w:tcPr>
            <w:tcW w:w="2394" w:type="dxa"/>
          </w:tcPr>
          <w:p w:rsidR="00587DC3" w:rsidRDefault="00587DC3">
            <w:r>
              <w:lastRenderedPageBreak/>
              <w:t>Euro</w:t>
            </w:r>
          </w:p>
        </w:tc>
        <w:tc>
          <w:tcPr>
            <w:tcW w:w="2394" w:type="dxa"/>
          </w:tcPr>
          <w:p w:rsidR="00587DC3" w:rsidRDefault="00B14BFE">
            <w:r>
              <w:t>-57,927</w:t>
            </w:r>
          </w:p>
        </w:tc>
        <w:tc>
          <w:tcPr>
            <w:tcW w:w="2394" w:type="dxa"/>
          </w:tcPr>
          <w:p w:rsidR="00587DC3" w:rsidRDefault="00B14BFE">
            <w:r>
              <w:t>-3,210</w:t>
            </w:r>
          </w:p>
        </w:tc>
        <w:tc>
          <w:tcPr>
            <w:tcW w:w="2394" w:type="dxa"/>
          </w:tcPr>
          <w:p w:rsidR="00587DC3" w:rsidRDefault="00587DC3"/>
        </w:tc>
      </w:tr>
      <w:tr w:rsidR="00587DC3" w:rsidTr="00587DC3">
        <w:tc>
          <w:tcPr>
            <w:tcW w:w="2394" w:type="dxa"/>
          </w:tcPr>
          <w:p w:rsidR="00587DC3" w:rsidRDefault="00587DC3">
            <w:r>
              <w:t>Great British Pound</w:t>
            </w:r>
          </w:p>
        </w:tc>
        <w:tc>
          <w:tcPr>
            <w:tcW w:w="2394" w:type="dxa"/>
          </w:tcPr>
          <w:p w:rsidR="00587DC3" w:rsidRDefault="00B14BFE">
            <w:r>
              <w:t>-50,302</w:t>
            </w:r>
          </w:p>
        </w:tc>
        <w:tc>
          <w:tcPr>
            <w:tcW w:w="2394" w:type="dxa"/>
          </w:tcPr>
          <w:p w:rsidR="00587DC3" w:rsidRDefault="00B14BFE">
            <w:r>
              <w:t>-2,393</w:t>
            </w:r>
          </w:p>
        </w:tc>
        <w:tc>
          <w:tcPr>
            <w:tcW w:w="2394" w:type="dxa"/>
          </w:tcPr>
          <w:p w:rsidR="00587DC3" w:rsidRDefault="00530F18">
            <w:r>
              <w:t>Largest net short position since week ended April 10, 2012</w:t>
            </w:r>
          </w:p>
        </w:tc>
      </w:tr>
      <w:tr w:rsidR="00587DC3" w:rsidTr="00587DC3">
        <w:tc>
          <w:tcPr>
            <w:tcW w:w="2394" w:type="dxa"/>
          </w:tcPr>
          <w:p w:rsidR="00587DC3" w:rsidRDefault="005B6955">
            <w:r>
              <w:t>Canadian Dollar</w:t>
            </w:r>
          </w:p>
        </w:tc>
        <w:tc>
          <w:tcPr>
            <w:tcW w:w="2394" w:type="dxa"/>
          </w:tcPr>
          <w:p w:rsidR="00F3256A" w:rsidRDefault="00530F18" w:rsidP="00530F18">
            <w:r>
              <w:t>17,194</w:t>
            </w:r>
          </w:p>
        </w:tc>
        <w:tc>
          <w:tcPr>
            <w:tcW w:w="2394" w:type="dxa"/>
          </w:tcPr>
          <w:p w:rsidR="00587DC3" w:rsidRDefault="00530F18">
            <w:r>
              <w:t>-139</w:t>
            </w:r>
            <w:bookmarkStart w:id="0" w:name="_GoBack"/>
            <w:bookmarkEnd w:id="0"/>
          </w:p>
          <w:p w:rsidR="002726BF" w:rsidRDefault="002726BF"/>
        </w:tc>
        <w:tc>
          <w:tcPr>
            <w:tcW w:w="2394" w:type="dxa"/>
          </w:tcPr>
          <w:p w:rsidR="00587DC3" w:rsidRDefault="00587DC3"/>
        </w:tc>
      </w:tr>
    </w:tbl>
    <w:p w:rsidR="007A701B" w:rsidRDefault="007A701B"/>
    <w:sectPr w:rsidR="007A701B" w:rsidSect="00D458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DC3"/>
    <w:rsid w:val="00001104"/>
    <w:rsid w:val="0001650E"/>
    <w:rsid w:val="000224EB"/>
    <w:rsid w:val="000240F3"/>
    <w:rsid w:val="00035521"/>
    <w:rsid w:val="00037933"/>
    <w:rsid w:val="000839CF"/>
    <w:rsid w:val="0009058F"/>
    <w:rsid w:val="000948C3"/>
    <w:rsid w:val="00097D6E"/>
    <w:rsid w:val="000A129E"/>
    <w:rsid w:val="000A7408"/>
    <w:rsid w:val="000C7F95"/>
    <w:rsid w:val="00104A09"/>
    <w:rsid w:val="001132FF"/>
    <w:rsid w:val="00117B44"/>
    <w:rsid w:val="00121890"/>
    <w:rsid w:val="001234E6"/>
    <w:rsid w:val="00140F8E"/>
    <w:rsid w:val="00140FBC"/>
    <w:rsid w:val="00153FCA"/>
    <w:rsid w:val="00184D5D"/>
    <w:rsid w:val="00196B66"/>
    <w:rsid w:val="001A1520"/>
    <w:rsid w:val="001B57A9"/>
    <w:rsid w:val="001C435A"/>
    <w:rsid w:val="001D1698"/>
    <w:rsid w:val="001D2FC7"/>
    <w:rsid w:val="001E2C0B"/>
    <w:rsid w:val="001F1EF6"/>
    <w:rsid w:val="00200598"/>
    <w:rsid w:val="00217751"/>
    <w:rsid w:val="002726BF"/>
    <w:rsid w:val="00282F8A"/>
    <w:rsid w:val="002C3848"/>
    <w:rsid w:val="002E584F"/>
    <w:rsid w:val="002E5C80"/>
    <w:rsid w:val="002E7D1C"/>
    <w:rsid w:val="002F0AD6"/>
    <w:rsid w:val="002F5030"/>
    <w:rsid w:val="00301419"/>
    <w:rsid w:val="00303C26"/>
    <w:rsid w:val="00316D70"/>
    <w:rsid w:val="00320479"/>
    <w:rsid w:val="003378A5"/>
    <w:rsid w:val="00337BAB"/>
    <w:rsid w:val="00341C6A"/>
    <w:rsid w:val="00353424"/>
    <w:rsid w:val="00384CF2"/>
    <w:rsid w:val="00397A89"/>
    <w:rsid w:val="003A5906"/>
    <w:rsid w:val="003A59D5"/>
    <w:rsid w:val="003B21B5"/>
    <w:rsid w:val="003C312E"/>
    <w:rsid w:val="003C323A"/>
    <w:rsid w:val="003F46B5"/>
    <w:rsid w:val="00401D3D"/>
    <w:rsid w:val="00420D76"/>
    <w:rsid w:val="00426F1A"/>
    <w:rsid w:val="0042718D"/>
    <w:rsid w:val="00437F09"/>
    <w:rsid w:val="00440BC8"/>
    <w:rsid w:val="0047246E"/>
    <w:rsid w:val="004913C5"/>
    <w:rsid w:val="004941BC"/>
    <w:rsid w:val="0050742E"/>
    <w:rsid w:val="00520AC6"/>
    <w:rsid w:val="00521D34"/>
    <w:rsid w:val="00530F18"/>
    <w:rsid w:val="00546F1C"/>
    <w:rsid w:val="00563E9A"/>
    <w:rsid w:val="005654E0"/>
    <w:rsid w:val="00587DC3"/>
    <w:rsid w:val="005B0C6D"/>
    <w:rsid w:val="005B67F8"/>
    <w:rsid w:val="005B6955"/>
    <w:rsid w:val="005C41D9"/>
    <w:rsid w:val="005D09ED"/>
    <w:rsid w:val="005E6006"/>
    <w:rsid w:val="00611B9D"/>
    <w:rsid w:val="00614940"/>
    <w:rsid w:val="0062392D"/>
    <w:rsid w:val="00644AE3"/>
    <w:rsid w:val="006531A2"/>
    <w:rsid w:val="006608EC"/>
    <w:rsid w:val="00661B3B"/>
    <w:rsid w:val="00665E65"/>
    <w:rsid w:val="006670CF"/>
    <w:rsid w:val="0068403A"/>
    <w:rsid w:val="00695B3B"/>
    <w:rsid w:val="006C7931"/>
    <w:rsid w:val="006D00E2"/>
    <w:rsid w:val="006D26BC"/>
    <w:rsid w:val="006F1CA8"/>
    <w:rsid w:val="00744CB0"/>
    <w:rsid w:val="00757F1D"/>
    <w:rsid w:val="00784D98"/>
    <w:rsid w:val="00792AD2"/>
    <w:rsid w:val="00794F29"/>
    <w:rsid w:val="007A701B"/>
    <w:rsid w:val="007B27A9"/>
    <w:rsid w:val="007C781D"/>
    <w:rsid w:val="007F0B22"/>
    <w:rsid w:val="007F4D22"/>
    <w:rsid w:val="00802C8D"/>
    <w:rsid w:val="00803D0F"/>
    <w:rsid w:val="008075A9"/>
    <w:rsid w:val="00812C26"/>
    <w:rsid w:val="00841458"/>
    <w:rsid w:val="00847582"/>
    <w:rsid w:val="0085149B"/>
    <w:rsid w:val="00851E7D"/>
    <w:rsid w:val="00854598"/>
    <w:rsid w:val="00854A9E"/>
    <w:rsid w:val="008707A7"/>
    <w:rsid w:val="00882C64"/>
    <w:rsid w:val="008A4811"/>
    <w:rsid w:val="008C21FF"/>
    <w:rsid w:val="008C65EB"/>
    <w:rsid w:val="008D04B7"/>
    <w:rsid w:val="008D41D9"/>
    <w:rsid w:val="008D63C6"/>
    <w:rsid w:val="008E6B56"/>
    <w:rsid w:val="008E6C35"/>
    <w:rsid w:val="008F57E5"/>
    <w:rsid w:val="009036C2"/>
    <w:rsid w:val="00914646"/>
    <w:rsid w:val="009230C8"/>
    <w:rsid w:val="00925163"/>
    <w:rsid w:val="009427AB"/>
    <w:rsid w:val="0094379B"/>
    <w:rsid w:val="00994B4E"/>
    <w:rsid w:val="0099633A"/>
    <w:rsid w:val="009A4E76"/>
    <w:rsid w:val="009B6116"/>
    <w:rsid w:val="009B7579"/>
    <w:rsid w:val="009C6864"/>
    <w:rsid w:val="00A058F7"/>
    <w:rsid w:val="00A46A95"/>
    <w:rsid w:val="00A51337"/>
    <w:rsid w:val="00A56C5C"/>
    <w:rsid w:val="00A84903"/>
    <w:rsid w:val="00AB4732"/>
    <w:rsid w:val="00AC5A86"/>
    <w:rsid w:val="00AD4E73"/>
    <w:rsid w:val="00AE67B0"/>
    <w:rsid w:val="00AE7AAC"/>
    <w:rsid w:val="00AE7B8E"/>
    <w:rsid w:val="00B005D7"/>
    <w:rsid w:val="00B12F5B"/>
    <w:rsid w:val="00B14BFE"/>
    <w:rsid w:val="00B258F2"/>
    <w:rsid w:val="00B26DE6"/>
    <w:rsid w:val="00B37FC2"/>
    <w:rsid w:val="00B63969"/>
    <w:rsid w:val="00B70F9F"/>
    <w:rsid w:val="00B87ACF"/>
    <w:rsid w:val="00B939CE"/>
    <w:rsid w:val="00BC227F"/>
    <w:rsid w:val="00BD2201"/>
    <w:rsid w:val="00BD693A"/>
    <w:rsid w:val="00C03E5E"/>
    <w:rsid w:val="00C13E19"/>
    <w:rsid w:val="00C31BD6"/>
    <w:rsid w:val="00C361A1"/>
    <w:rsid w:val="00C4108E"/>
    <w:rsid w:val="00C46810"/>
    <w:rsid w:val="00C65FAE"/>
    <w:rsid w:val="00C66B5A"/>
    <w:rsid w:val="00C705BD"/>
    <w:rsid w:val="00CA7CC3"/>
    <w:rsid w:val="00D21DD9"/>
    <w:rsid w:val="00D458BB"/>
    <w:rsid w:val="00D603E0"/>
    <w:rsid w:val="00D67895"/>
    <w:rsid w:val="00D735F4"/>
    <w:rsid w:val="00DA042B"/>
    <w:rsid w:val="00E02ECF"/>
    <w:rsid w:val="00E05235"/>
    <w:rsid w:val="00E357B8"/>
    <w:rsid w:val="00E61E72"/>
    <w:rsid w:val="00E851AB"/>
    <w:rsid w:val="00E85759"/>
    <w:rsid w:val="00E9077A"/>
    <w:rsid w:val="00E95122"/>
    <w:rsid w:val="00E96E6A"/>
    <w:rsid w:val="00F3256A"/>
    <w:rsid w:val="00F44DF2"/>
    <w:rsid w:val="00F86835"/>
    <w:rsid w:val="00F9137D"/>
    <w:rsid w:val="00F922BD"/>
    <w:rsid w:val="00F956CE"/>
    <w:rsid w:val="00FC010B"/>
    <w:rsid w:val="00FF5D28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8BB"/>
    <w:pPr>
      <w:widowControl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e">
    <w:name w:val="Name"/>
    <w:basedOn w:val="DefaultParagraphFont"/>
    <w:rsid w:val="00D458BB"/>
    <w:rPr>
      <w:b/>
      <w:i w:val="0"/>
      <w:kern w:val="0"/>
      <w:u w:val="none"/>
      <w:vertAlign w:val="baseline"/>
    </w:rPr>
  </w:style>
  <w:style w:type="character" w:customStyle="1" w:styleId="ActiveLink">
    <w:name w:val="Active Link"/>
    <w:basedOn w:val="DefaultParagraphFont"/>
    <w:rsid w:val="00D458BB"/>
    <w:rPr>
      <w:b w:val="0"/>
      <w:i w:val="0"/>
      <w:color w:val="00CC00"/>
      <w:kern w:val="0"/>
      <w:u w:val="none"/>
      <w:vertAlign w:val="baseline"/>
    </w:rPr>
  </w:style>
  <w:style w:type="character" w:customStyle="1" w:styleId="InactiveLink">
    <w:name w:val="Inactive Link"/>
    <w:basedOn w:val="DefaultParagraphFont"/>
    <w:rsid w:val="00D458BB"/>
    <w:rPr>
      <w:b w:val="0"/>
      <w:i w:val="0"/>
      <w:color w:val="FF0000"/>
      <w:kern w:val="0"/>
      <w:u w:val="none"/>
      <w:vertAlign w:val="baseline"/>
    </w:rPr>
  </w:style>
  <w:style w:type="table" w:styleId="TableGrid">
    <w:name w:val="Table Grid"/>
    <w:basedOn w:val="TableNormal"/>
    <w:uiPriority w:val="59"/>
    <w:rsid w:val="0058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8BB"/>
    <w:pPr>
      <w:widowControl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e">
    <w:name w:val="Name"/>
    <w:basedOn w:val="DefaultParagraphFont"/>
    <w:rsid w:val="00D458BB"/>
    <w:rPr>
      <w:b/>
      <w:i w:val="0"/>
      <w:kern w:val="0"/>
      <w:u w:val="none"/>
      <w:vertAlign w:val="baseline"/>
    </w:rPr>
  </w:style>
  <w:style w:type="character" w:customStyle="1" w:styleId="ActiveLink">
    <w:name w:val="Active Link"/>
    <w:basedOn w:val="DefaultParagraphFont"/>
    <w:rsid w:val="00D458BB"/>
    <w:rPr>
      <w:b w:val="0"/>
      <w:i w:val="0"/>
      <w:color w:val="00CC00"/>
      <w:kern w:val="0"/>
      <w:u w:val="none"/>
      <w:vertAlign w:val="baseline"/>
    </w:rPr>
  </w:style>
  <w:style w:type="character" w:customStyle="1" w:styleId="InactiveLink">
    <w:name w:val="Inactive Link"/>
    <w:basedOn w:val="DefaultParagraphFont"/>
    <w:rsid w:val="00D458BB"/>
    <w:rPr>
      <w:b w:val="0"/>
      <w:i w:val="0"/>
      <w:color w:val="FF0000"/>
      <w:kern w:val="0"/>
      <w:u w:val="none"/>
      <w:vertAlign w:val="baseline"/>
    </w:rPr>
  </w:style>
  <w:style w:type="table" w:styleId="TableGrid">
    <w:name w:val="Table Grid"/>
    <w:basedOn w:val="TableNormal"/>
    <w:uiPriority w:val="59"/>
    <w:rsid w:val="0058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Bloomberg L.P.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pcsu</dc:creator>
  <cp:lastModifiedBy>pcsu</cp:lastModifiedBy>
  <cp:revision>2</cp:revision>
  <dcterms:created xsi:type="dcterms:W3CDTF">2015-02-09T01:50:00Z</dcterms:created>
  <dcterms:modified xsi:type="dcterms:W3CDTF">2015-02-09T01:50:00Z</dcterms:modified>
</cp:coreProperties>
</file>