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B1C" w:rsidRDefault="00AB1B1C" w:rsidP="00AB1B1C">
      <w:pPr>
        <w:pStyle w:val="ecxerror"/>
        <w:rPr>
          <w:rFonts w:ascii="Tahoma" w:hAnsi="Tahoma" w:cs="Tahoma"/>
          <w:color w:val="2A2A2A"/>
          <w:sz w:val="20"/>
          <w:szCs w:val="20"/>
        </w:rPr>
      </w:pPr>
      <w:r>
        <w:rPr>
          <w:rStyle w:val="Strong"/>
          <w:rFonts w:ascii="Tahoma" w:hAnsi="Tahoma" w:cs="Tahoma"/>
          <w:color w:val="2A2A2A"/>
          <w:sz w:val="20"/>
          <w:szCs w:val="20"/>
        </w:rPr>
        <w:t>Dollar Index – 4 Hour Chart</w:t>
      </w:r>
    </w:p>
    <w:p w:rsidR="00AB1B1C" w:rsidRDefault="00AB1B1C" w:rsidP="00AB1B1C">
      <w:pPr>
        <w:pStyle w:val="NormalWeb"/>
        <w:rPr>
          <w:rFonts w:ascii="Tahoma" w:hAnsi="Tahoma" w:cs="Tahoma"/>
          <w:color w:val="2A2A2A"/>
          <w:sz w:val="20"/>
          <w:szCs w:val="20"/>
        </w:rPr>
      </w:pPr>
      <w:r>
        <w:rPr>
          <w:rFonts w:ascii="Tahoma" w:hAnsi="Tahoma" w:cs="Tahoma"/>
          <w:color w:val="2A2A2A"/>
          <w:sz w:val="20"/>
          <w:szCs w:val="20"/>
        </w:rPr>
        <w:t>This chart shows a mini Head &amp; Shoulders reversal pattern and likely target over the next five sessions. The dollar index has been driving the market for the past couple years so a lower dollar means higher stock and commodity prices.</w:t>
      </w:r>
      <w:bookmarkStart w:id="0" w:name="_GoBack"/>
      <w:bookmarkEnd w:id="0"/>
    </w:p>
    <w:p w:rsidR="00AB1B1C" w:rsidRDefault="00AB1B1C" w:rsidP="00AB1B1C">
      <w:pPr>
        <w:pStyle w:val="NormalWeb"/>
        <w:rPr>
          <w:rFonts w:ascii="Tahoma" w:hAnsi="Tahoma" w:cs="Tahoma"/>
          <w:color w:val="2A2A2A"/>
          <w:sz w:val="20"/>
          <w:szCs w:val="20"/>
        </w:rPr>
      </w:pPr>
      <w:r>
        <w:rPr>
          <w:rFonts w:ascii="Tahoma" w:hAnsi="Tahoma" w:cs="Tahoma"/>
          <w:noProof/>
          <w:color w:val="2A2A2A"/>
          <w:sz w:val="20"/>
          <w:szCs w:val="20"/>
        </w:rPr>
        <w:drawing>
          <wp:inline distT="0" distB="0" distL="0" distR="0">
            <wp:extent cx="5831840" cy="4307840"/>
            <wp:effectExtent l="0" t="0" r="0" b="0"/>
            <wp:docPr id="1" name="Picture 1" descr="https://snt136.mail.live.com/Handlers/ImageProxy.mvc?bicild=&amp;canary=TtWUQeJyIzYWd8vJsA3auDg9fFkuuFdK4PyzOQLzzBI%3d0&amp;url=http%3a%2f%2fwww.marketoracle.co.uk%2fimages%2f2012%2fOct%2fDollar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nt136.mail.live.com/Handlers/ImageProxy.mvc?bicild=&amp;canary=TtWUQeJyIzYWd8vJsA3auDg9fFkuuFdK4PyzOQLzzBI%3d0&amp;url=http%3a%2f%2fwww.marketoracle.co.uk%2fimages%2f2012%2fOct%2fDollar-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840" cy="430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56A" w:rsidRDefault="003B456A"/>
    <w:sectPr w:rsidR="003B45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B1C"/>
    <w:rsid w:val="003B456A"/>
    <w:rsid w:val="00402A2D"/>
    <w:rsid w:val="00AB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auto"/>
    </w:pPr>
    <w:rPr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B1B1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B1B1C"/>
    <w:pPr>
      <w:spacing w:after="324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ecxerror">
    <w:name w:val="ecxerror"/>
    <w:basedOn w:val="Normal"/>
    <w:rsid w:val="00AB1B1C"/>
    <w:pPr>
      <w:spacing w:after="324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1B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B1C"/>
    <w:rPr>
      <w:rFonts w:ascii="Tahoma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auto"/>
    </w:pPr>
    <w:rPr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B1B1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B1B1C"/>
    <w:pPr>
      <w:spacing w:after="324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ecxerror">
    <w:name w:val="ecxerror"/>
    <w:basedOn w:val="Normal"/>
    <w:rsid w:val="00AB1B1C"/>
    <w:pPr>
      <w:spacing w:after="324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1B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B1C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 Account</dc:creator>
  <cp:lastModifiedBy>Main Account</cp:lastModifiedBy>
  <cp:revision>1</cp:revision>
  <dcterms:created xsi:type="dcterms:W3CDTF">2012-10-05T10:46:00Z</dcterms:created>
  <dcterms:modified xsi:type="dcterms:W3CDTF">2012-10-05T11:04:00Z</dcterms:modified>
</cp:coreProperties>
</file>